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8D498B"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A3382A" w:rsidRPr="00957BB2"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Общие положения.</w:t>
      </w:r>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AF3F17" w:rsidRPr="00957BB2">
        <w:rPr>
          <w:rFonts w:ascii="Times New Roman" w:hAnsi="Times New Roman"/>
          <w:bCs/>
          <w:sz w:val="28"/>
          <w:szCs w:val="28"/>
        </w:rPr>
        <w:t>Департамент С</w:t>
      </w:r>
      <w:r w:rsidR="00FB55FB" w:rsidRPr="00957BB2">
        <w:rPr>
          <w:rFonts w:ascii="Times New Roman" w:hAnsi="Times New Roman"/>
          <w:bCs/>
          <w:sz w:val="28"/>
          <w:szCs w:val="28"/>
        </w:rPr>
        <w:t>моленской области по строительству и жилищно-коммунальному хозяйству</w:t>
      </w:r>
      <w:r w:rsidR="00AF3F17" w:rsidRPr="00957BB2">
        <w:rPr>
          <w:rFonts w:ascii="Times New Roman" w:hAnsi="Times New Roman"/>
          <w:bCs/>
          <w:sz w:val="28"/>
          <w:szCs w:val="28"/>
        </w:rPr>
        <w:t>.</w:t>
      </w:r>
    </w:p>
    <w:p w:rsidR="00AE7D4F" w:rsidRPr="00957BB2"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957BB2">
        <w:rPr>
          <w:rFonts w:ascii="Times New Roman" w:hAnsi="Times New Roman"/>
          <w:b/>
          <w:bCs/>
          <w:sz w:val="28"/>
          <w:szCs w:val="28"/>
        </w:rPr>
        <w:t>Дата и номер предварительного отбора</w:t>
      </w:r>
      <w:r w:rsidR="000B6D93" w:rsidRPr="00957BB2">
        <w:rPr>
          <w:rFonts w:ascii="Times New Roman" w:hAnsi="Times New Roman"/>
          <w:b/>
          <w:bCs/>
          <w:sz w:val="28"/>
          <w:szCs w:val="28"/>
        </w:rPr>
        <w:t>:</w:t>
      </w:r>
      <w:r w:rsidR="00065F24">
        <w:rPr>
          <w:rFonts w:ascii="Times New Roman" w:hAnsi="Times New Roman"/>
          <w:b/>
          <w:bCs/>
          <w:sz w:val="28"/>
          <w:szCs w:val="28"/>
        </w:rPr>
        <w:t xml:space="preserve"> </w:t>
      </w:r>
      <w:r w:rsidR="006817D2">
        <w:rPr>
          <w:rFonts w:ascii="Times New Roman" w:hAnsi="Times New Roman"/>
          <w:bCs/>
          <w:sz w:val="28"/>
          <w:szCs w:val="28"/>
        </w:rPr>
        <w:t>11</w:t>
      </w:r>
      <w:r w:rsidR="00624A3C" w:rsidRPr="00624A3C">
        <w:rPr>
          <w:rFonts w:ascii="Times New Roman" w:hAnsi="Times New Roman"/>
          <w:bCs/>
          <w:sz w:val="28"/>
          <w:szCs w:val="28"/>
        </w:rPr>
        <w:t>.0</w:t>
      </w:r>
      <w:r w:rsidR="006817D2">
        <w:rPr>
          <w:rFonts w:ascii="Times New Roman" w:hAnsi="Times New Roman"/>
          <w:bCs/>
          <w:sz w:val="28"/>
          <w:szCs w:val="28"/>
        </w:rPr>
        <w:t>9</w:t>
      </w:r>
      <w:r w:rsidR="00624A3C" w:rsidRPr="00624A3C">
        <w:rPr>
          <w:rFonts w:ascii="Times New Roman" w:hAnsi="Times New Roman"/>
          <w:bCs/>
          <w:sz w:val="28"/>
          <w:szCs w:val="28"/>
        </w:rPr>
        <w:t>.2020</w:t>
      </w:r>
      <w:r w:rsidR="00624A3C">
        <w:rPr>
          <w:rFonts w:ascii="Times New Roman" w:hAnsi="Times New Roman"/>
          <w:b/>
          <w:bCs/>
          <w:sz w:val="28"/>
          <w:szCs w:val="28"/>
        </w:rPr>
        <w:t xml:space="preserve"> </w:t>
      </w:r>
      <w:r w:rsidR="00065F24">
        <w:rPr>
          <w:rFonts w:ascii="Times New Roman" w:hAnsi="Times New Roman"/>
          <w:bCs/>
          <w:sz w:val="28"/>
          <w:szCs w:val="28"/>
        </w:rPr>
        <w:t xml:space="preserve">№ </w:t>
      </w:r>
      <w:r w:rsidR="00CB1593">
        <w:rPr>
          <w:rFonts w:ascii="Times New Roman" w:hAnsi="Times New Roman"/>
          <w:bCs/>
          <w:sz w:val="28"/>
          <w:szCs w:val="28"/>
        </w:rPr>
        <w:t>1</w:t>
      </w:r>
      <w:r w:rsidR="006817D2">
        <w:rPr>
          <w:rFonts w:ascii="Times New Roman" w:hAnsi="Times New Roman"/>
          <w:bCs/>
          <w:sz w:val="28"/>
          <w:szCs w:val="28"/>
        </w:rPr>
        <w:t>4</w:t>
      </w:r>
      <w:r w:rsidR="00065F24">
        <w:rPr>
          <w:rFonts w:ascii="Times New Roman" w:hAnsi="Times New Roman"/>
          <w:bCs/>
          <w:sz w:val="28"/>
          <w:szCs w:val="28"/>
        </w:rPr>
        <w:t>-б.</w:t>
      </w:r>
    </w:p>
    <w:p w:rsidR="002F7C06"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Предмет предварительного отбора подрядных организаций</w:t>
      </w:r>
      <w:r w:rsidRPr="00957BB2">
        <w:rPr>
          <w:rFonts w:ascii="Times New Roman" w:hAnsi="Times New Roman"/>
          <w:bCs/>
          <w:sz w:val="28"/>
          <w:szCs w:val="28"/>
        </w:rPr>
        <w:t>:</w:t>
      </w:r>
      <w:r w:rsidR="00571BCF">
        <w:rPr>
          <w:rFonts w:ascii="Times New Roman" w:hAnsi="Times New Roman"/>
          <w:bCs/>
          <w:sz w:val="28"/>
          <w:szCs w:val="28"/>
        </w:rPr>
        <w:t xml:space="preserve"> </w:t>
      </w:r>
      <w:r w:rsidR="001F1721" w:rsidRPr="00957BB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объе</w:t>
      </w:r>
      <w:bookmarkStart w:id="0" w:name="_GoBack"/>
      <w:bookmarkEnd w:id="0"/>
      <w:r w:rsidR="007B0106" w:rsidRPr="00957BB2">
        <w:rPr>
          <w:rFonts w:ascii="Times New Roman" w:hAnsi="Times New Roman" w:cs="Times New Roman"/>
          <w:sz w:val="28"/>
          <w:szCs w:val="28"/>
        </w:rPr>
        <w:t>ктами культурного наследия, выявленными объектами культурного наследия</w:t>
      </w:r>
      <w:r w:rsidR="002F7C06" w:rsidRPr="00957BB2">
        <w:rPr>
          <w:rFonts w:ascii="Times New Roman" w:eastAsia="Times New Roman" w:hAnsi="Times New Roman" w:cs="Times New Roman"/>
          <w:bCs/>
          <w:sz w:val="28"/>
          <w:szCs w:val="28"/>
          <w:lang w:eastAsia="ru-RU"/>
        </w:rPr>
        <w:t>.</w:t>
      </w:r>
    </w:p>
    <w:p w:rsidR="005467A3"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Информация об Органе по ведению РКП</w:t>
      </w:r>
      <w:r w:rsidRPr="00957BB2">
        <w:rPr>
          <w:rFonts w:ascii="Times New Roman" w:hAnsi="Times New Roman"/>
          <w:bCs/>
          <w:sz w:val="28"/>
          <w:szCs w:val="28"/>
        </w:rPr>
        <w:t xml:space="preserve">: </w:t>
      </w:r>
    </w:p>
    <w:p w:rsidR="00A3382A" w:rsidRPr="00957BB2" w:rsidRDefault="00A3382A" w:rsidP="00CB4325">
      <w:pPr>
        <w:pStyle w:val="afc"/>
        <w:ind w:left="426"/>
        <w:jc w:val="both"/>
        <w:rPr>
          <w:rFonts w:ascii="Times New Roman" w:hAnsi="Times New Roman" w:cs="Times New Roman"/>
          <w:sz w:val="28"/>
          <w:szCs w:val="28"/>
        </w:rPr>
      </w:pPr>
      <w:r w:rsidRPr="00957BB2">
        <w:rPr>
          <w:rFonts w:ascii="Times New Roman" w:hAnsi="Times New Roman" w:cs="Times New Roman"/>
          <w:bCs/>
          <w:sz w:val="28"/>
          <w:szCs w:val="28"/>
        </w:rPr>
        <w:t>адрес:</w:t>
      </w:r>
      <w:r w:rsidR="00266EEF" w:rsidRPr="00957BB2">
        <w:rPr>
          <w:rFonts w:ascii="Times New Roman" w:hAnsi="Times New Roman" w:cs="Times New Roman"/>
          <w:bCs/>
          <w:sz w:val="28"/>
          <w:szCs w:val="28"/>
        </w:rPr>
        <w:t xml:space="preserve"> 214000,</w:t>
      </w:r>
      <w:r w:rsidR="00DE2FD2" w:rsidRPr="00957BB2">
        <w:rPr>
          <w:rFonts w:ascii="Times New Roman" w:hAnsi="Times New Roman" w:cs="Times New Roman"/>
          <w:bCs/>
          <w:sz w:val="28"/>
          <w:szCs w:val="28"/>
        </w:rPr>
        <w:t>г</w:t>
      </w:r>
      <w:r w:rsidR="000515EF" w:rsidRPr="00957BB2">
        <w:rPr>
          <w:rFonts w:ascii="Times New Roman" w:hAnsi="Times New Roman" w:cs="Times New Roman"/>
          <w:bCs/>
          <w:sz w:val="28"/>
          <w:szCs w:val="28"/>
        </w:rPr>
        <w:t>ор</w:t>
      </w:r>
      <w:r w:rsidR="00DE2FD2" w:rsidRPr="00957BB2">
        <w:rPr>
          <w:rFonts w:ascii="Times New Roman" w:hAnsi="Times New Roman" w:cs="Times New Roman"/>
          <w:bCs/>
          <w:sz w:val="28"/>
          <w:szCs w:val="28"/>
        </w:rPr>
        <w:t>. Смоленск ул. Октябрьской революции д. 14а</w:t>
      </w:r>
    </w:p>
    <w:p w:rsidR="00A3382A" w:rsidRPr="00957BB2" w:rsidRDefault="00A3382A" w:rsidP="00CB4325">
      <w:pPr>
        <w:pStyle w:val="afc"/>
        <w:ind w:left="426"/>
        <w:jc w:val="both"/>
        <w:rPr>
          <w:rFonts w:ascii="Times New Roman" w:hAnsi="Times New Roman" w:cs="Times New Roman"/>
          <w:sz w:val="28"/>
          <w:szCs w:val="28"/>
          <w:lang w:val="en-US"/>
        </w:rPr>
      </w:pPr>
      <w:r w:rsidRPr="00957BB2">
        <w:rPr>
          <w:rFonts w:ascii="Times New Roman" w:hAnsi="Times New Roman" w:cs="Times New Roman"/>
          <w:bCs/>
          <w:sz w:val="28"/>
          <w:szCs w:val="28"/>
          <w:lang w:val="en-US"/>
        </w:rPr>
        <w:t xml:space="preserve">e-mail: </w:t>
      </w:r>
      <w:r w:rsidR="00DE2FD2" w:rsidRPr="00957BB2">
        <w:rPr>
          <w:rFonts w:ascii="Times New Roman" w:hAnsi="Times New Roman" w:cs="Times New Roman"/>
          <w:sz w:val="28"/>
          <w:szCs w:val="28"/>
          <w:lang w:val="en-US"/>
        </w:rPr>
        <w:t>savst2@admin-smolensk.ru</w:t>
      </w:r>
    </w:p>
    <w:p w:rsidR="00A3382A" w:rsidRPr="00957BB2" w:rsidRDefault="00A3382A" w:rsidP="00CB4325">
      <w:pPr>
        <w:pStyle w:val="afc"/>
        <w:ind w:left="426"/>
        <w:jc w:val="both"/>
        <w:rPr>
          <w:rFonts w:ascii="Times New Roman" w:eastAsia="Times New Roman" w:hAnsi="Times New Roman" w:cs="Times New Roman"/>
          <w:sz w:val="28"/>
          <w:szCs w:val="28"/>
          <w:lang w:eastAsia="ru-RU"/>
        </w:rPr>
      </w:pPr>
      <w:r w:rsidRPr="00957BB2">
        <w:rPr>
          <w:rFonts w:ascii="Times New Roman" w:eastAsia="Times New Roman" w:hAnsi="Times New Roman" w:cs="Times New Roman"/>
          <w:sz w:val="28"/>
          <w:szCs w:val="28"/>
          <w:lang w:eastAsia="ru-RU"/>
        </w:rPr>
        <w:t>телефон:</w:t>
      </w:r>
      <w:r w:rsidR="00DE2FD2" w:rsidRPr="00957BB2">
        <w:rPr>
          <w:rFonts w:ascii="Times New Roman" w:eastAsia="Times New Roman" w:hAnsi="Times New Roman" w:cs="Times New Roman"/>
          <w:sz w:val="28"/>
          <w:szCs w:val="28"/>
          <w:lang w:eastAsia="ru-RU"/>
        </w:rPr>
        <w:t xml:space="preserve"> +7(4812)29</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26</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01</w:t>
      </w:r>
    </w:p>
    <w:p w:rsidR="00796484" w:rsidRPr="00957BB2" w:rsidRDefault="00A3382A" w:rsidP="009F58C2">
      <w:pPr>
        <w:pStyle w:val="afc"/>
        <w:ind w:left="426"/>
        <w:jc w:val="both"/>
        <w:rPr>
          <w:rFonts w:ascii="Times New Roman" w:hAnsi="Times New Roman" w:cs="Times New Roman"/>
          <w:bCs/>
          <w:sz w:val="28"/>
          <w:szCs w:val="28"/>
        </w:rPr>
      </w:pPr>
      <w:r w:rsidRPr="00957BB2">
        <w:rPr>
          <w:rFonts w:ascii="Times New Roman" w:hAnsi="Times New Roman" w:cs="Times New Roman"/>
          <w:bCs/>
          <w:sz w:val="28"/>
          <w:szCs w:val="28"/>
        </w:rPr>
        <w:t>официальный сайт</w:t>
      </w:r>
      <w:r w:rsidR="00525527" w:rsidRPr="00957BB2">
        <w:rPr>
          <w:rFonts w:ascii="Times New Roman" w:hAnsi="Times New Roman" w:cs="Times New Roman"/>
          <w:bCs/>
          <w:sz w:val="28"/>
          <w:szCs w:val="28"/>
        </w:rPr>
        <w:t>, на котором размещена документация о проведении предварительного отбора</w:t>
      </w:r>
      <w:r w:rsidRPr="00957BB2">
        <w:rPr>
          <w:rFonts w:ascii="Times New Roman" w:hAnsi="Times New Roman" w:cs="Times New Roman"/>
          <w:bCs/>
          <w:sz w:val="28"/>
          <w:szCs w:val="28"/>
        </w:rPr>
        <w:t xml:space="preserve">: </w:t>
      </w:r>
      <w:hyperlink r:id="rId8" w:history="1">
        <w:r w:rsidR="00796484" w:rsidRPr="00957BB2">
          <w:rPr>
            <w:rStyle w:val="a5"/>
            <w:rFonts w:ascii="Times New Roman" w:hAnsi="Times New Roman" w:cs="Times New Roman"/>
            <w:bCs/>
            <w:color w:val="auto"/>
            <w:sz w:val="28"/>
            <w:szCs w:val="28"/>
          </w:rPr>
          <w:t>http://stjkh.admin-smolensk.ru</w:t>
        </w:r>
      </w:hyperlink>
      <w:r w:rsidR="009F58C2" w:rsidRPr="00957BB2">
        <w:rPr>
          <w:rFonts w:ascii="Times New Roman" w:hAnsi="Times New Roman" w:cs="Times New Roman"/>
          <w:bCs/>
          <w:sz w:val="28"/>
          <w:szCs w:val="28"/>
        </w:rPr>
        <w:t>.</w:t>
      </w:r>
    </w:p>
    <w:p w:rsidR="001A64DD" w:rsidRPr="00957BB2"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r w:rsidRPr="00EB7A9A">
        <w:rPr>
          <w:rFonts w:ascii="Times New Roman" w:hAnsi="Times New Roman" w:cs="Times New Roman"/>
          <w:bCs/>
          <w:sz w:val="28"/>
          <w:szCs w:val="28"/>
          <w:lang w:val="en-US"/>
        </w:rPr>
        <w:t xml:space="preserve">: </w:t>
      </w:r>
      <w:hyperlink r:id="rId9"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r w:rsidRPr="00957BB2">
        <w:rPr>
          <w:rFonts w:ascii="Times New Roman" w:hAnsi="Times New Roman" w:cs="Times New Roman"/>
          <w:sz w:val="28"/>
          <w:szCs w:val="28"/>
          <w:u w:val="single"/>
          <w:lang w:val="en-US"/>
        </w:rPr>
        <w:t>kaprem</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smolensk</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ru</w:t>
      </w:r>
    </w:p>
    <w:p w:rsidR="00A3382A" w:rsidRPr="00957BB2" w:rsidRDefault="001A64D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 xml:space="preserve">6. </w:t>
      </w:r>
      <w:r w:rsidR="00A3382A" w:rsidRPr="00957BB2">
        <w:rPr>
          <w:rFonts w:ascii="Times New Roman" w:hAnsi="Times New Roman"/>
          <w:b/>
          <w:bCs/>
          <w:sz w:val="28"/>
          <w:szCs w:val="28"/>
        </w:rPr>
        <w:t xml:space="preserve">Информация об </w:t>
      </w:r>
      <w:r w:rsidR="002347E2" w:rsidRPr="00957BB2">
        <w:rPr>
          <w:rFonts w:ascii="Times New Roman" w:hAnsi="Times New Roman"/>
          <w:b/>
          <w:bCs/>
          <w:sz w:val="28"/>
          <w:szCs w:val="28"/>
        </w:rPr>
        <w:t>оператор</w:t>
      </w:r>
      <w:r w:rsidR="00A3382A" w:rsidRPr="00957BB2">
        <w:rPr>
          <w:rFonts w:ascii="Times New Roman" w:hAnsi="Times New Roman"/>
          <w:b/>
          <w:bCs/>
          <w:sz w:val="28"/>
          <w:szCs w:val="28"/>
        </w:rPr>
        <w:t>е электронной площадки:</w:t>
      </w:r>
    </w:p>
    <w:p w:rsidR="00BF4269" w:rsidRPr="00957BB2" w:rsidRDefault="00A3382A" w:rsidP="00CB4325">
      <w:pPr>
        <w:pStyle w:val="a4"/>
        <w:tabs>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CB4325">
      <w:pPr>
        <w:pStyle w:val="a4"/>
        <w:tabs>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0"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ru</w:t>
        </w:r>
      </w:hyperlink>
      <w:r w:rsidR="001A64DD" w:rsidRPr="00957BB2">
        <w:rPr>
          <w:rFonts w:ascii="Times New Roman" w:hAnsi="Times New Roman"/>
          <w:bCs/>
          <w:sz w:val="28"/>
          <w:szCs w:val="28"/>
          <w:u w:val="single"/>
        </w:rPr>
        <w:t>.</w:t>
      </w:r>
    </w:p>
    <w:p w:rsidR="00FE633F" w:rsidRPr="00A45693" w:rsidRDefault="00FE633F" w:rsidP="00FE633F">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w:t>
      </w:r>
      <w:r w:rsidRPr="00A45693">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E633F" w:rsidRDefault="00FE633F" w:rsidP="00FE633F">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6817D2">
        <w:rPr>
          <w:rFonts w:ascii="Times New Roman" w:hAnsi="Times New Roman"/>
          <w:bCs/>
          <w:sz w:val="28"/>
          <w:szCs w:val="28"/>
        </w:rPr>
        <w:t>12</w:t>
      </w:r>
      <w:r>
        <w:rPr>
          <w:rFonts w:ascii="Times New Roman" w:hAnsi="Times New Roman"/>
          <w:bCs/>
          <w:sz w:val="28"/>
          <w:szCs w:val="28"/>
        </w:rPr>
        <w:t xml:space="preserve">» </w:t>
      </w:r>
      <w:r w:rsidR="006817D2">
        <w:rPr>
          <w:rFonts w:ascii="Times New Roman" w:hAnsi="Times New Roman"/>
          <w:bCs/>
          <w:sz w:val="28"/>
          <w:szCs w:val="28"/>
        </w:rPr>
        <w:t>сентября</w:t>
      </w:r>
      <w:r>
        <w:rPr>
          <w:rFonts w:ascii="Times New Roman" w:hAnsi="Times New Roman"/>
          <w:bCs/>
          <w:sz w:val="28"/>
          <w:szCs w:val="28"/>
        </w:rPr>
        <w:t xml:space="preserve"> 20</w:t>
      </w:r>
      <w:r w:rsidR="00CB1593">
        <w:rPr>
          <w:rFonts w:ascii="Times New Roman" w:hAnsi="Times New Roman"/>
          <w:bCs/>
          <w:sz w:val="28"/>
          <w:szCs w:val="28"/>
        </w:rPr>
        <w:t>20</w:t>
      </w:r>
      <w:r>
        <w:rPr>
          <w:rFonts w:ascii="Times New Roman" w:hAnsi="Times New Roman"/>
          <w:bCs/>
          <w:sz w:val="28"/>
          <w:szCs w:val="28"/>
        </w:rPr>
        <w:t xml:space="preserve"> года</w:t>
      </w:r>
      <w:r w:rsidR="003C0353">
        <w:rPr>
          <w:rFonts w:ascii="Times New Roman" w:hAnsi="Times New Roman"/>
          <w:bCs/>
          <w:sz w:val="28"/>
          <w:szCs w:val="28"/>
        </w:rPr>
        <w:t xml:space="preserve"> 0</w:t>
      </w:r>
      <w:r>
        <w:rPr>
          <w:rFonts w:ascii="Times New Roman" w:hAnsi="Times New Roman"/>
          <w:bCs/>
          <w:sz w:val="28"/>
          <w:szCs w:val="28"/>
        </w:rPr>
        <w:t xml:space="preserve">9 часов 00 минут (время московское). </w:t>
      </w:r>
    </w:p>
    <w:p w:rsidR="00FE633F" w:rsidRPr="00A45693" w:rsidRDefault="00FE633F" w:rsidP="00FE633F">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w:t>
      </w:r>
      <w:r w:rsidRPr="00A45693">
        <w:rPr>
          <w:rFonts w:ascii="Times New Roman" w:hAnsi="Times New Roman"/>
          <w:b/>
          <w:bCs/>
          <w:sz w:val="28"/>
          <w:szCs w:val="28"/>
        </w:rPr>
        <w:t xml:space="preserve">Дата и время окончания срока подачи Заявок: </w:t>
      </w:r>
    </w:p>
    <w:p w:rsidR="00FE633F" w:rsidRPr="00A45693" w:rsidRDefault="00FE633F" w:rsidP="00FE633F">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6817D2">
        <w:rPr>
          <w:rFonts w:ascii="Times New Roman" w:hAnsi="Times New Roman"/>
          <w:bCs/>
          <w:sz w:val="28"/>
          <w:szCs w:val="28"/>
        </w:rPr>
        <w:t>07</w:t>
      </w:r>
      <w:r w:rsidRPr="00A45693">
        <w:rPr>
          <w:rFonts w:ascii="Times New Roman" w:hAnsi="Times New Roman"/>
          <w:bCs/>
          <w:sz w:val="28"/>
          <w:szCs w:val="28"/>
        </w:rPr>
        <w:t xml:space="preserve">» </w:t>
      </w:r>
      <w:r w:rsidR="006817D2">
        <w:rPr>
          <w:rFonts w:ascii="Times New Roman" w:hAnsi="Times New Roman"/>
          <w:bCs/>
          <w:sz w:val="28"/>
          <w:szCs w:val="28"/>
        </w:rPr>
        <w:t>октября</w:t>
      </w:r>
      <w:r w:rsidR="006830E8">
        <w:rPr>
          <w:rFonts w:ascii="Times New Roman" w:hAnsi="Times New Roman"/>
          <w:bCs/>
          <w:sz w:val="28"/>
          <w:szCs w:val="28"/>
        </w:rPr>
        <w:t xml:space="preserve"> </w:t>
      </w:r>
      <w:r w:rsidR="00A94BD0">
        <w:rPr>
          <w:rFonts w:ascii="Times New Roman" w:hAnsi="Times New Roman"/>
          <w:bCs/>
          <w:sz w:val="28"/>
          <w:szCs w:val="28"/>
        </w:rPr>
        <w:t xml:space="preserve"> 2020 года </w:t>
      </w:r>
      <w:r w:rsidR="006817D2">
        <w:rPr>
          <w:rFonts w:ascii="Times New Roman" w:hAnsi="Times New Roman"/>
          <w:bCs/>
          <w:sz w:val="28"/>
          <w:szCs w:val="28"/>
        </w:rPr>
        <w:t>09</w:t>
      </w:r>
      <w:r w:rsidRPr="00A45693">
        <w:rPr>
          <w:rFonts w:ascii="Times New Roman" w:hAnsi="Times New Roman"/>
          <w:bCs/>
          <w:sz w:val="28"/>
          <w:szCs w:val="28"/>
        </w:rPr>
        <w:t xml:space="preserve"> часов 00 минут (время московское).</w:t>
      </w:r>
    </w:p>
    <w:p w:rsidR="00FE633F" w:rsidRPr="00A45693" w:rsidRDefault="00FE633F" w:rsidP="00FE633F">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9. </w:t>
      </w:r>
      <w:r w:rsidRPr="00A45693">
        <w:rPr>
          <w:rFonts w:ascii="Times New Roman" w:hAnsi="Times New Roman"/>
          <w:b/>
          <w:bCs/>
          <w:sz w:val="28"/>
          <w:szCs w:val="28"/>
        </w:rPr>
        <w:t>Дата и время окончания срока рассмотрения Заявок:</w:t>
      </w:r>
    </w:p>
    <w:p w:rsidR="00FE633F" w:rsidRDefault="00FE633F" w:rsidP="00FE633F">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6817D2">
        <w:rPr>
          <w:rFonts w:ascii="Times New Roman" w:hAnsi="Times New Roman"/>
          <w:bCs/>
          <w:sz w:val="28"/>
          <w:szCs w:val="28"/>
        </w:rPr>
        <w:t>20</w:t>
      </w:r>
      <w:r w:rsidRPr="00A45693">
        <w:rPr>
          <w:rFonts w:ascii="Times New Roman" w:hAnsi="Times New Roman"/>
          <w:bCs/>
          <w:sz w:val="28"/>
          <w:szCs w:val="28"/>
        </w:rPr>
        <w:t xml:space="preserve">» </w:t>
      </w:r>
      <w:r w:rsidR="006817D2">
        <w:rPr>
          <w:rFonts w:ascii="Times New Roman" w:hAnsi="Times New Roman"/>
          <w:bCs/>
          <w:sz w:val="28"/>
          <w:szCs w:val="28"/>
        </w:rPr>
        <w:t>октября</w:t>
      </w:r>
      <w:r w:rsidR="00A94BD0">
        <w:rPr>
          <w:rFonts w:ascii="Times New Roman" w:hAnsi="Times New Roman"/>
          <w:bCs/>
          <w:sz w:val="28"/>
          <w:szCs w:val="28"/>
        </w:rPr>
        <w:t xml:space="preserve"> 2020 года </w:t>
      </w:r>
      <w:r w:rsidRPr="00A45693">
        <w:rPr>
          <w:rFonts w:ascii="Times New Roman" w:hAnsi="Times New Roman"/>
          <w:bCs/>
          <w:sz w:val="28"/>
          <w:szCs w:val="28"/>
        </w:rPr>
        <w:t>17 часов 00 минут (время московское).</w:t>
      </w:r>
    </w:p>
    <w:p w:rsidR="00C1562D" w:rsidRPr="00957BB2" w:rsidRDefault="00C1562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10.</w:t>
      </w:r>
      <w:r w:rsidRPr="00957BB2">
        <w:rPr>
          <w:rFonts w:ascii="Times New Roman" w:hAnsi="Times New Roman"/>
          <w:b/>
          <w:bCs/>
          <w:sz w:val="28"/>
          <w:szCs w:val="28"/>
        </w:rPr>
        <w:t xml:space="preserve"> Место рассмотрения Заявок:</w:t>
      </w:r>
    </w:p>
    <w:p w:rsidR="009F58C2" w:rsidRDefault="00CB4325" w:rsidP="009F58C2">
      <w:pPr>
        <w:tabs>
          <w:tab w:val="left" w:pos="3060"/>
        </w:tabs>
        <w:spacing w:after="0" w:line="240" w:lineRule="auto"/>
        <w:ind w:right="2"/>
        <w:jc w:val="both"/>
        <w:rPr>
          <w:rFonts w:ascii="Times New Roman" w:hAnsi="Times New Roman"/>
          <w:b/>
          <w:bCs/>
          <w:sz w:val="28"/>
          <w:szCs w:val="28"/>
        </w:rPr>
      </w:pPr>
      <w:r w:rsidRPr="00957BB2">
        <w:rPr>
          <w:rFonts w:ascii="Times New Roman" w:eastAsia="Calibri" w:hAnsi="Times New Roman"/>
          <w:sz w:val="28"/>
          <w:szCs w:val="28"/>
        </w:rPr>
        <w:t>Смоленская область, г</w:t>
      </w:r>
      <w:r w:rsidR="000515EF" w:rsidRPr="00957BB2">
        <w:rPr>
          <w:rFonts w:ascii="Times New Roman" w:eastAsia="Calibri" w:hAnsi="Times New Roman"/>
          <w:sz w:val="28"/>
          <w:szCs w:val="28"/>
        </w:rPr>
        <w:t>ор</w:t>
      </w:r>
      <w:r w:rsidRPr="00957BB2">
        <w:rPr>
          <w:rFonts w:ascii="Times New Roman" w:eastAsia="Calibri" w:hAnsi="Times New Roman"/>
          <w:sz w:val="28"/>
          <w:szCs w:val="28"/>
        </w:rPr>
        <w:t>. Смоленск, ул. Кловская, д. 13, каб.</w:t>
      </w:r>
      <w:r w:rsidR="002660D1" w:rsidRPr="00957BB2">
        <w:rPr>
          <w:rFonts w:ascii="Times New Roman" w:eastAsia="Calibri" w:hAnsi="Times New Roman"/>
          <w:sz w:val="28"/>
          <w:szCs w:val="28"/>
        </w:rPr>
        <w:t xml:space="preserve"> 18</w:t>
      </w:r>
      <w:r w:rsidR="009F58C2" w:rsidRPr="00957BB2">
        <w:rPr>
          <w:rFonts w:ascii="Times New Roman" w:hAnsi="Times New Roman"/>
          <w:b/>
          <w:bCs/>
          <w:sz w:val="28"/>
          <w:szCs w:val="28"/>
        </w:rPr>
        <w:t>.</w:t>
      </w:r>
    </w:p>
    <w:p w:rsidR="00EB7A9A" w:rsidRPr="00957BB2" w:rsidRDefault="00EB7A9A" w:rsidP="009F58C2">
      <w:pPr>
        <w:tabs>
          <w:tab w:val="left" w:pos="3060"/>
        </w:tabs>
        <w:spacing w:after="0" w:line="240" w:lineRule="auto"/>
        <w:ind w:right="2"/>
        <w:jc w:val="both"/>
        <w:rPr>
          <w:rFonts w:ascii="Times New Roman" w:hAnsi="Times New Roman"/>
          <w:b/>
          <w:bCs/>
          <w:sz w:val="28"/>
          <w:szCs w:val="28"/>
        </w:rPr>
      </w:pPr>
    </w:p>
    <w:p w:rsidR="00597B40" w:rsidRDefault="00C1562D" w:rsidP="00796484">
      <w:pPr>
        <w:tabs>
          <w:tab w:val="left" w:pos="3060"/>
        </w:tabs>
        <w:spacing w:after="0" w:line="240" w:lineRule="auto"/>
        <w:ind w:right="2"/>
        <w:jc w:val="both"/>
        <w:rPr>
          <w:rFonts w:ascii="Times New Roman" w:hAnsi="Times New Roman"/>
          <w:bCs/>
          <w:sz w:val="28"/>
          <w:szCs w:val="28"/>
        </w:rPr>
      </w:pPr>
      <w:r w:rsidRPr="00957BB2">
        <w:rPr>
          <w:rFonts w:ascii="Times New Roman" w:hAnsi="Times New Roman"/>
          <w:bCs/>
          <w:sz w:val="28"/>
          <w:szCs w:val="28"/>
        </w:rPr>
        <w:t>11</w:t>
      </w:r>
      <w:r w:rsidR="001A64DD" w:rsidRPr="00957BB2">
        <w:rPr>
          <w:rFonts w:ascii="Times New Roman" w:hAnsi="Times New Roman"/>
          <w:bCs/>
          <w:sz w:val="28"/>
          <w:szCs w:val="28"/>
        </w:rPr>
        <w:t>.</w:t>
      </w:r>
      <w:r w:rsidR="00A3382A" w:rsidRPr="00957BB2">
        <w:rPr>
          <w:rFonts w:ascii="Times New Roman" w:hAnsi="Times New Roman"/>
          <w:b/>
          <w:bCs/>
          <w:sz w:val="28"/>
          <w:szCs w:val="28"/>
        </w:rPr>
        <w:t>Период действия результатов предварительного отбора</w:t>
      </w:r>
      <w:r w:rsidR="00A3382A" w:rsidRPr="00957BB2">
        <w:rPr>
          <w:rFonts w:ascii="Times New Roman" w:hAnsi="Times New Roman"/>
          <w:b/>
          <w:bCs/>
          <w:sz w:val="24"/>
        </w:rPr>
        <w:t xml:space="preserve"> – </w:t>
      </w:r>
      <w:r w:rsidR="00A3382A" w:rsidRPr="00957BB2">
        <w:rPr>
          <w:rFonts w:ascii="Times New Roman" w:hAnsi="Times New Roman"/>
          <w:bCs/>
          <w:sz w:val="28"/>
          <w:szCs w:val="28"/>
        </w:rPr>
        <w:t>3 года</w:t>
      </w:r>
      <w:r w:rsidR="009F58C2" w:rsidRPr="00957BB2">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71BCF" w:rsidRPr="00957BB2" w:rsidRDefault="00571BCF" w:rsidP="00796484">
      <w:pPr>
        <w:tabs>
          <w:tab w:val="left" w:pos="3060"/>
        </w:tabs>
        <w:spacing w:after="0" w:line="240" w:lineRule="auto"/>
        <w:ind w:right="2"/>
        <w:jc w:val="both"/>
        <w:rPr>
          <w:rFonts w:ascii="Times New Roman" w:hAnsi="Times New Roman"/>
          <w:bCs/>
          <w:sz w:val="24"/>
        </w:rPr>
      </w:pPr>
    </w:p>
    <w:p w:rsidR="002A69C4" w:rsidRPr="00957BB2"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957BB2">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957BB2">
        <w:rPr>
          <w:rFonts w:ascii="Times New Roman" w:hAnsi="Times New Roman" w:cs="Times New Roman"/>
          <w:b/>
          <w:sz w:val="28"/>
          <w:szCs w:val="28"/>
        </w:rPr>
        <w:t>мущества в многоквартирном доме.</w:t>
      </w:r>
    </w:p>
    <w:p w:rsidR="00846987" w:rsidRPr="00957BB2"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highlight w:val="magenta"/>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Требования к выполнению работ (услуг) на </w:t>
            </w:r>
            <w:r w:rsidRPr="00957BB2">
              <w:rPr>
                <w:rFonts w:ascii="Times New Roman" w:eastAsia="Calibri" w:hAnsi="Times New Roman" w:cs="Times New Roman"/>
                <w:sz w:val="24"/>
                <w:szCs w:val="24"/>
              </w:rPr>
              <w:t>объектах культурного наследия</w:t>
            </w:r>
          </w:p>
        </w:tc>
        <w:tc>
          <w:tcPr>
            <w:tcW w:w="6617" w:type="dxa"/>
            <w:shd w:val="clear" w:color="auto" w:fill="auto"/>
            <w:vAlign w:val="center"/>
          </w:tcPr>
          <w:p w:rsidR="00E214A5" w:rsidRPr="00957BB2" w:rsidRDefault="00E214A5" w:rsidP="00E219A8">
            <w:pPr>
              <w:pStyle w:val="22"/>
              <w:shd w:val="clear" w:color="auto" w:fill="auto"/>
              <w:ind w:firstLine="360"/>
              <w:rPr>
                <w:sz w:val="24"/>
                <w:szCs w:val="24"/>
              </w:rPr>
            </w:pPr>
            <w:r w:rsidRPr="00957BB2">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E214A5" w:rsidRPr="00957BB2" w:rsidRDefault="00E214A5" w:rsidP="00E214A5">
            <w:pPr>
              <w:pStyle w:val="22"/>
              <w:numPr>
                <w:ilvl w:val="0"/>
                <w:numId w:val="46"/>
              </w:numPr>
              <w:shd w:val="clear" w:color="auto" w:fill="auto"/>
              <w:ind w:firstLine="360"/>
              <w:rPr>
                <w:sz w:val="24"/>
                <w:szCs w:val="24"/>
              </w:rPr>
            </w:pPr>
            <w:r w:rsidRPr="00957BB2">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E214A5" w:rsidRPr="00957BB2" w:rsidRDefault="00E214A5" w:rsidP="00E214A5">
            <w:pPr>
              <w:pStyle w:val="22"/>
              <w:numPr>
                <w:ilvl w:val="0"/>
                <w:numId w:val="46"/>
              </w:numPr>
              <w:shd w:val="clear" w:color="auto" w:fill="auto"/>
              <w:tabs>
                <w:tab w:val="left" w:pos="730"/>
              </w:tabs>
              <w:ind w:firstLine="360"/>
              <w:rPr>
                <w:sz w:val="24"/>
                <w:szCs w:val="24"/>
              </w:rPr>
            </w:pPr>
            <w:r w:rsidRPr="00957BB2">
              <w:rPr>
                <w:sz w:val="24"/>
                <w:szCs w:val="24"/>
              </w:rPr>
              <w:t>необходимо обеспечивать сохранность и неизменность облика выявленного объекта культурного наследия;</w:t>
            </w:r>
          </w:p>
          <w:p w:rsidR="00E214A5" w:rsidRPr="00957BB2" w:rsidRDefault="00E214A5" w:rsidP="00E214A5">
            <w:pPr>
              <w:pStyle w:val="22"/>
              <w:numPr>
                <w:ilvl w:val="0"/>
                <w:numId w:val="46"/>
              </w:numPr>
              <w:shd w:val="clear" w:color="auto" w:fill="auto"/>
              <w:tabs>
                <w:tab w:val="left" w:pos="740"/>
              </w:tabs>
              <w:ind w:firstLine="360"/>
              <w:rPr>
                <w:sz w:val="24"/>
                <w:szCs w:val="24"/>
              </w:rPr>
            </w:pPr>
            <w:r w:rsidRPr="00957BB2">
              <w:rPr>
                <w:sz w:val="24"/>
                <w:szCs w:val="24"/>
              </w:rPr>
              <w:t xml:space="preserve">необходимо соблюдать установленные статьей 5.1 Федерального закона от 25 июня 2002 г. </w:t>
            </w:r>
            <w:r w:rsidRPr="00957BB2">
              <w:rPr>
                <w:sz w:val="24"/>
                <w:szCs w:val="24"/>
                <w:lang w:val="en-US" w:bidi="en-US"/>
              </w:rPr>
              <w:t>N</w:t>
            </w:r>
            <w:r w:rsidRPr="00957BB2">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rsidR="00E214A5" w:rsidRPr="00957BB2" w:rsidRDefault="00E214A5" w:rsidP="00E214A5">
            <w:pPr>
              <w:pStyle w:val="22"/>
              <w:numPr>
                <w:ilvl w:val="0"/>
                <w:numId w:val="46"/>
              </w:numPr>
              <w:shd w:val="clear" w:color="auto" w:fill="auto"/>
              <w:tabs>
                <w:tab w:val="left" w:pos="782"/>
              </w:tabs>
              <w:ind w:firstLine="360"/>
              <w:rPr>
                <w:sz w:val="24"/>
                <w:szCs w:val="24"/>
              </w:rPr>
            </w:pPr>
            <w:r w:rsidRPr="00957BB2">
              <w:rPr>
                <w:sz w:val="24"/>
                <w:szCs w:val="24"/>
              </w:rPr>
              <w:t>запрещено использовать объект культурного наследия:</w:t>
            </w:r>
          </w:p>
          <w:p w:rsidR="00E214A5" w:rsidRPr="00957BB2" w:rsidRDefault="00E214A5" w:rsidP="00E214A5">
            <w:pPr>
              <w:pStyle w:val="22"/>
              <w:numPr>
                <w:ilvl w:val="0"/>
                <w:numId w:val="47"/>
              </w:numPr>
              <w:shd w:val="clear" w:color="auto" w:fill="auto"/>
              <w:tabs>
                <w:tab w:val="left" w:pos="610"/>
              </w:tabs>
              <w:ind w:firstLine="360"/>
              <w:rPr>
                <w:sz w:val="24"/>
                <w:szCs w:val="24"/>
              </w:rPr>
            </w:pPr>
            <w:r w:rsidRPr="00957BB2">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E214A5" w:rsidRPr="00957BB2" w:rsidRDefault="00E214A5" w:rsidP="00E214A5">
            <w:pPr>
              <w:pStyle w:val="22"/>
              <w:numPr>
                <w:ilvl w:val="0"/>
                <w:numId w:val="47"/>
              </w:numPr>
              <w:shd w:val="clear" w:color="auto" w:fill="auto"/>
              <w:tabs>
                <w:tab w:val="left" w:pos="615"/>
              </w:tabs>
              <w:ind w:firstLine="360"/>
              <w:rPr>
                <w:sz w:val="24"/>
                <w:szCs w:val="24"/>
              </w:rPr>
            </w:pPr>
            <w:r w:rsidRPr="00957BB2">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E214A5" w:rsidRPr="00957BB2" w:rsidRDefault="00E214A5" w:rsidP="00E214A5">
            <w:pPr>
              <w:pStyle w:val="22"/>
              <w:numPr>
                <w:ilvl w:val="0"/>
                <w:numId w:val="47"/>
              </w:numPr>
              <w:shd w:val="clear" w:color="auto" w:fill="auto"/>
              <w:tabs>
                <w:tab w:val="left" w:pos="620"/>
              </w:tabs>
              <w:ind w:firstLine="360"/>
              <w:rPr>
                <w:sz w:val="24"/>
                <w:szCs w:val="24"/>
              </w:rPr>
            </w:pPr>
            <w:r w:rsidRPr="00957BB2">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E214A5" w:rsidRPr="00957BB2" w:rsidRDefault="00E214A5" w:rsidP="00E214A5">
            <w:pPr>
              <w:pStyle w:val="22"/>
              <w:numPr>
                <w:ilvl w:val="0"/>
                <w:numId w:val="46"/>
              </w:numPr>
              <w:shd w:val="clear" w:color="auto" w:fill="auto"/>
              <w:tabs>
                <w:tab w:val="left" w:pos="745"/>
              </w:tabs>
              <w:ind w:firstLine="360"/>
              <w:rPr>
                <w:sz w:val="24"/>
                <w:szCs w:val="24"/>
              </w:rPr>
            </w:pPr>
            <w:r w:rsidRPr="00957BB2">
              <w:rPr>
                <w:sz w:val="24"/>
                <w:szCs w:val="24"/>
              </w:rPr>
              <w:t xml:space="preserve">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w:t>
            </w:r>
            <w:r w:rsidRPr="00957BB2">
              <w:rPr>
                <w:sz w:val="24"/>
                <w:szCs w:val="24"/>
              </w:rPr>
              <w:lastRenderedPageBreak/>
              <w:t>проведения работ по сохранению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Градостроительный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Земельный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Жилищный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27.12.2002г. №184-ФЗ «О техническом регулировании»;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1" w:history="1">
              <w:r w:rsidRPr="00957BB2">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2" w:history="1">
              <w:r w:rsidRPr="00957BB2">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21.1101-2013 «Основные требования к проектной и рабочей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16.13330.2011 «Стальные конструкции. Актуализированная редакция СНиП II-23-81*»;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17.13330.2011 «Кровли. Актуализированная редакция СНиП II-26-76»;</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20.13330.2011 «СНиП 2.01.07-85 «Нагрузки и воздействия»;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24.13330.2011 «Свайные фундаменты. Актуализированная редакция СНиП 2.02.03-85»;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lastRenderedPageBreak/>
              <w:t>- СП 50.13330.2012 «Тепловая защита зданий. Актуализированная редакция СНиП 23-02-2003»;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64.13330.2011 «Деревянные конструкции. Актуализированная редакция СНиП II-25-80»;</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СП 76.13330.2011 «Электротехнические устройства»;</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Правила устройства электроустановок (ПУЭ);</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E214A5" w:rsidRPr="00957BB2" w:rsidRDefault="00E214A5" w:rsidP="00E219A8">
            <w:pPr>
              <w:spacing w:after="0" w:line="240" w:lineRule="auto"/>
              <w:ind w:right="-92"/>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E214A5" w:rsidRPr="00957BB2" w:rsidRDefault="00E214A5" w:rsidP="00E219A8">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957BB2">
              <w:rPr>
                <w:rFonts w:ascii="Times New Roman" w:eastAsia="Times New Roman" w:hAnsi="Times New Roman" w:cs="Times New Roman"/>
                <w:bCs/>
                <w:kern w:val="36"/>
                <w:sz w:val="24"/>
                <w:szCs w:val="24"/>
                <w:lang w:eastAsia="ru-RU"/>
              </w:rPr>
              <w:t>- «</w:t>
            </w:r>
            <w:r w:rsidRPr="00957BB2">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sz w:val="24"/>
                <w:szCs w:val="24"/>
              </w:rPr>
              <w:t>- П</w:t>
            </w:r>
            <w:r w:rsidRPr="00957BB2">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sz w:val="24"/>
                <w:szCs w:val="24"/>
              </w:rPr>
            </w:pPr>
            <w:r w:rsidRPr="00957BB2">
              <w:rPr>
                <w:rFonts w:ascii="Times New Roman" w:hAnsi="Times New Roman" w:cs="Times New Roman"/>
                <w:b w:val="0"/>
                <w:sz w:val="24"/>
                <w:szCs w:val="24"/>
              </w:rPr>
              <w:t>- СП 11-110-99 Авторский надзор за строительством зданий и сооружений;</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E214A5" w:rsidRPr="00957BB2" w:rsidRDefault="00E214A5" w:rsidP="00E219A8">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 ГОСТ Р 55567-2013 «Порядок организации и ведения </w:t>
            </w:r>
            <w:r w:rsidRPr="00957BB2">
              <w:rPr>
                <w:rFonts w:ascii="Times New Roman" w:eastAsia="Times New Roman" w:hAnsi="Times New Roman" w:cs="Times New Roman"/>
                <w:sz w:val="24"/>
                <w:szCs w:val="24"/>
                <w:lang w:eastAsia="ru-RU"/>
              </w:rPr>
              <w:lastRenderedPageBreak/>
              <w:t>инженерно-технических исследований на объектах культурного наследия. Памятники истории и культуры;</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6617" w:type="dxa"/>
            <w:shd w:val="clear" w:color="auto" w:fill="auto"/>
            <w:vAlign w:val="center"/>
          </w:tcPr>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xml:space="preserve">Капитальный ремонт объекта культурного наследия, выявленного объекта культурного наследия выполняются в соответствии с проектной документацией, </w:t>
            </w:r>
            <w:r w:rsidRPr="00957BB2">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холодного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замена трубопроводов общего имущества многоквартирного жилого дома.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pStyle w:val="a4"/>
              <w:spacing w:after="0" w:line="240" w:lineRule="auto"/>
              <w:ind w:left="0"/>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горячего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(водоотведение)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(Инженерная система газоснабжения)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сети газопотребления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и регулировочной арматуры.</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(Система отопления)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замена отопительных приборов в местах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Инженерные сети (Система электроснабжения)</w:t>
            </w:r>
          </w:p>
        </w:tc>
        <w:tc>
          <w:tcPr>
            <w:tcW w:w="6617" w:type="dxa"/>
            <w:shd w:val="clear" w:color="auto" w:fill="auto"/>
            <w:vAlign w:val="center"/>
          </w:tcPr>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перевод существующей сети электроснабжения на повышенное напряжение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ремонт и (или) устройство контура заземления.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крыши</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1 Скатные из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антисептирование и антипирирование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(чердачного)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дымовых или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фронтонов и парапетов.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восстановление или смена ограждения на чердачной кровле.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фановых труб.</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2 Кровли плоские из железобетонных плит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стяжки для кровельного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на оголовках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pStyle w:val="ConsPlusNormal"/>
              <w:jc w:val="both"/>
              <w:rPr>
                <w:b/>
              </w:rPr>
            </w:pP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гидроизоляции внутренних стен и пола подвала (при наличии).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восстановление герметизации швов.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технических помещений с установкой металлических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дренажной системы в пределах границ дома.</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фасада,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площадок, ступеней крылец.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Не 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Утепление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w:t>
            </w:r>
            <w:r w:rsidRPr="00957BB2">
              <w:rPr>
                <w:rFonts w:ascii="Times New Roman" w:hAnsi="Times New Roman" w:cs="Times New Roman"/>
                <w:sz w:val="24"/>
                <w:szCs w:val="24"/>
              </w:rPr>
              <w:lastRenderedPageBreak/>
              <w:t>необходимости утепления фасада.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фундамента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работы по ремонту или замене фундаментов.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заделка и расшивка стыков, швов, трещин элементов фундаментов. </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hAnsi="Times New Roman" w:cs="Times New Roman"/>
                <w:sz w:val="24"/>
                <w:szCs w:val="24"/>
              </w:rPr>
              <w:t>- устройство наружного противонапорного гидроизоляционного слоя.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устранение местных дефектов и деформаций путем усиления фундамента.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 слоем теплоизолирующего материала.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Указанные работы выполняются в соответствии с принятыми </w:t>
            </w:r>
            <w:r w:rsidRPr="00957BB2">
              <w:rPr>
                <w:rFonts w:ascii="Times New Roman" w:hAnsi="Times New Roman" w:cs="Times New Roman"/>
                <w:sz w:val="24"/>
                <w:szCs w:val="24"/>
              </w:rPr>
              <w:lastRenderedPageBreak/>
              <w:t>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Установка коллективных (общедомовых) приборов учета потребления ресурсов.</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коллективных (общедомовых) приборов учета потребления: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тепловой энергии на нужды отопления и горячего водоснабжения;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потребления холодной воды,</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электрической энергии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905414" w:rsidRPr="00957BB2" w:rsidRDefault="00905414" w:rsidP="006D62AD">
      <w:pPr>
        <w:spacing w:before="120" w:after="0" w:line="240" w:lineRule="auto"/>
        <w:jc w:val="both"/>
        <w:outlineLvl w:val="1"/>
        <w:rPr>
          <w:rFonts w:ascii="Times New Roman" w:hAnsi="Times New Roman"/>
          <w:vanish/>
          <w:highlight w:val="magenta"/>
        </w:rPr>
      </w:pPr>
    </w:p>
    <w:p w:rsidR="00635062" w:rsidRPr="00957BB2" w:rsidRDefault="00635062" w:rsidP="00905414">
      <w:pPr>
        <w:rPr>
          <w:rFonts w:ascii="Times New Roman" w:hAnsi="Times New Roman"/>
          <w:bCs/>
          <w:highlight w:val="magenta"/>
        </w:rPr>
      </w:pPr>
    </w:p>
    <w:p w:rsidR="00905414" w:rsidRPr="00957BB2"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957BB2">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957BB2">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D96A1F" w:rsidRPr="00957BB2" w:rsidRDefault="00D96A1F" w:rsidP="00E219A8">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являющихся объектами культурного наследия, выявленными объектами культурного наследия. 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1. 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w:t>
            </w:r>
            <w:r w:rsidRPr="00957BB2">
              <w:rPr>
                <w:rFonts w:ascii="Times New Roman" w:hAnsi="Times New Roman" w:cs="Times New Roman"/>
                <w:sz w:val="24"/>
                <w:szCs w:val="24"/>
              </w:rPr>
              <w:lastRenderedPageBreak/>
              <w:t>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1. Исполнение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обеспечивается: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обеспечительным платежом.</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Способ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w:t>
            </w:r>
            <w:r w:rsidRPr="00957BB2">
              <w:rPr>
                <w:rFonts w:ascii="Times New Roman" w:hAnsi="Times New Roman" w:cs="Times New Roman"/>
                <w:sz w:val="24"/>
                <w:szCs w:val="24"/>
              </w:rPr>
              <w:lastRenderedPageBreak/>
              <w:t xml:space="preserve">самостоятельно из указанных в пункте 1 способов. </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указываются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4.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5. Обеспечение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D96A1F" w:rsidRPr="00957BB2" w:rsidRDefault="00D96A1F" w:rsidP="00E219A8">
            <w:pPr>
              <w:pStyle w:val="ConsPlusNormal"/>
              <w:tabs>
                <w:tab w:val="left" w:pos="608"/>
              </w:tabs>
              <w:ind w:firstLine="325"/>
              <w:jc w:val="both"/>
              <w:rPr>
                <w:rFonts w:ascii="Times New Roman" w:hAnsi="Times New Roman" w:cs="Times New Roman"/>
                <w:sz w:val="24"/>
                <w:szCs w:val="24"/>
              </w:rPr>
            </w:pPr>
            <w:r w:rsidRPr="00957BB2">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быть безотзывной;</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и (или)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менее чем на 60 дней.</w:t>
            </w:r>
          </w:p>
          <w:p w:rsidR="00D96A1F" w:rsidRPr="00957BB2" w:rsidRDefault="00D96A1F" w:rsidP="00E219A8">
            <w:pPr>
              <w:pStyle w:val="ConsPlusNormal"/>
              <w:tabs>
                <w:tab w:val="left" w:pos="601"/>
              </w:tabs>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7. В </w:t>
            </w:r>
            <w:r w:rsidRPr="00957BB2">
              <w:rPr>
                <w:rFonts w:ascii="Times New Roman" w:hAnsi="Times New Roman" w:cs="Times New Roman"/>
                <w:sz w:val="24"/>
                <w:szCs w:val="24"/>
              </w:rPr>
              <w:t>документации о проведении электронного аукциона</w:t>
            </w:r>
            <w:r w:rsidRPr="00957BB2">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Срок предоставления гарантий на оказанные услуги и (или) выполненные работы не может быть менее 5 лет со дня подписания </w:t>
            </w:r>
            <w:r w:rsidRPr="00957BB2">
              <w:rPr>
                <w:rFonts w:ascii="Times New Roman" w:hAnsi="Times New Roman" w:cs="Times New Roman"/>
                <w:sz w:val="24"/>
                <w:szCs w:val="24"/>
              </w:rPr>
              <w:lastRenderedPageBreak/>
              <w:t>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ж) нарушение срока замены банковской гарантии,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з) выявление Заказчиком после заключения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D96A1F" w:rsidRPr="00957BB2" w:rsidRDefault="00D96A1F" w:rsidP="00E219A8">
            <w:pPr>
              <w:autoSpaceDE w:val="0"/>
              <w:autoSpaceDN w:val="0"/>
              <w:adjustRightInd w:val="0"/>
              <w:ind w:firstLine="540"/>
              <w:jc w:val="both"/>
              <w:rPr>
                <w:rFonts w:ascii="Times New Roman" w:hAnsi="Times New Roman" w:cs="Times New Roman"/>
                <w:sz w:val="24"/>
                <w:szCs w:val="24"/>
              </w:rPr>
            </w:pPr>
            <w:r w:rsidRPr="00957BB2">
              <w:rPr>
                <w:rFonts w:ascii="Times New Roman" w:hAnsi="Times New Roman" w:cs="Times New Roman"/>
                <w:sz w:val="24"/>
                <w:szCs w:val="24"/>
              </w:rPr>
              <w:t xml:space="preserve">и) неисполнение обязательства о продлении срока банковской гарантии при изменении сроков оказания услуг и (или) выполнения </w:t>
            </w:r>
            <w:r w:rsidRPr="00957BB2">
              <w:rPr>
                <w:rFonts w:ascii="Times New Roman" w:hAnsi="Times New Roman" w:cs="Times New Roman"/>
                <w:sz w:val="24"/>
                <w:szCs w:val="24"/>
              </w:rPr>
              <w:lastRenderedPageBreak/>
              <w:t>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D96A1F" w:rsidRPr="00957BB2" w:rsidRDefault="00D96A1F" w:rsidP="00E219A8">
            <w:pPr>
              <w:pStyle w:val="ConsPlusNormal"/>
              <w:tabs>
                <w:tab w:val="left" w:pos="600"/>
              </w:tabs>
              <w:ind w:firstLine="317"/>
              <w:jc w:val="both"/>
              <w:rPr>
                <w:rStyle w:val="a9"/>
                <w:rFonts w:ascii="Times New Roman" w:hAnsi="Times New Roman" w:cs="Times New Roman"/>
                <w:sz w:val="24"/>
                <w:szCs w:val="24"/>
              </w:rPr>
            </w:pPr>
            <w:r w:rsidRPr="00957BB2">
              <w:t xml:space="preserve">4. </w:t>
            </w:r>
            <w:r w:rsidRPr="00957BB2">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начиная со дня, следующего после дня истечения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lastRenderedPageBreak/>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E142DC" w:rsidRPr="00957BB2"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Ориентировочные адресные перечни многоквартирных домов</w:t>
      </w:r>
      <w:r w:rsidR="00844F6C" w:rsidRPr="00957BB2">
        <w:rPr>
          <w:rFonts w:ascii="Times New Roman" w:hAnsi="Times New Roman" w:cs="Times New Roman"/>
          <w:b/>
          <w:sz w:val="28"/>
          <w:szCs w:val="28"/>
        </w:rPr>
        <w:t>.</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957BB2"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957BB2">
        <w:rPr>
          <w:rFonts w:ascii="Times New Roman" w:hAnsi="Times New Roman"/>
          <w:b/>
          <w:sz w:val="28"/>
          <w:szCs w:val="28"/>
          <w:u w:val="single"/>
          <w:lang w:val="en-US"/>
        </w:rPr>
        <w:t>kaprem</w:t>
      </w:r>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r w:rsidRPr="00957BB2">
        <w:rPr>
          <w:rFonts w:ascii="Times New Roman" w:hAnsi="Times New Roman"/>
          <w:b/>
          <w:sz w:val="28"/>
          <w:szCs w:val="28"/>
          <w:u w:val="single"/>
          <w:lang w:val="en-US"/>
        </w:rPr>
        <w:t>smolensk</w:t>
      </w:r>
      <w:r w:rsidRPr="00957BB2">
        <w:rPr>
          <w:rFonts w:ascii="Times New Roman" w:hAnsi="Times New Roman"/>
          <w:b/>
          <w:sz w:val="28"/>
          <w:szCs w:val="28"/>
          <w:u w:val="single"/>
        </w:rPr>
        <w:t>.</w:t>
      </w:r>
      <w:r w:rsidRPr="00957BB2">
        <w:rPr>
          <w:rFonts w:ascii="Times New Roman" w:hAnsi="Times New Roman"/>
          <w:b/>
          <w:sz w:val="28"/>
          <w:szCs w:val="28"/>
          <w:u w:val="single"/>
          <w:lang w:val="en-US"/>
        </w:rPr>
        <w:t>ru</w:t>
      </w:r>
      <w:r w:rsidRPr="00957BB2">
        <w:rPr>
          <w:rFonts w:ascii="Times New Roman" w:hAnsi="Times New Roman" w:cs="Times New Roman"/>
          <w:sz w:val="28"/>
          <w:szCs w:val="28"/>
        </w:rPr>
        <w:t>в разделе «Краткосрочные планы».</w:t>
      </w:r>
    </w:p>
    <w:p w:rsidR="00FE633F" w:rsidRPr="00FE633F" w:rsidRDefault="00FE633F" w:rsidP="00FE633F">
      <w:pPr>
        <w:tabs>
          <w:tab w:val="left" w:pos="284"/>
        </w:tabs>
        <w:spacing w:after="0" w:line="240" w:lineRule="auto"/>
        <w:jc w:val="center"/>
        <w:rPr>
          <w:rFonts w:ascii="Times New Roman" w:hAnsi="Times New Roman" w:cs="Times New Roman"/>
          <w:sz w:val="28"/>
          <w:szCs w:val="28"/>
        </w:rPr>
      </w:pPr>
    </w:p>
    <w:p w:rsidR="0075224E" w:rsidRPr="00957BB2"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участникам предварительного отбора</w:t>
      </w:r>
      <w:r w:rsidR="00844F6C" w:rsidRPr="00957BB2">
        <w:rPr>
          <w:rFonts w:ascii="Times New Roman" w:hAnsi="Times New Roman" w:cs="Times New Roman"/>
          <w:b/>
          <w:sz w:val="28"/>
          <w:szCs w:val="28"/>
        </w:rPr>
        <w:t>.</w:t>
      </w:r>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368E4" w:rsidRPr="00957BB2">
        <w:rPr>
          <w:rFonts w:ascii="Times New Roman" w:hAnsi="Times New Roman" w:cs="Times New Roman"/>
          <w:sz w:val="28"/>
          <w:szCs w:val="28"/>
        </w:rPr>
        <w:t>объектами культурного наследия, выявленными объектами культурного наследия,</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53491F"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а)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957BB2">
        <w:rPr>
          <w:rFonts w:ascii="Times New Roman" w:hAnsi="Times New Roman" w:cs="Times New Roman"/>
          <w:sz w:val="28"/>
          <w:szCs w:val="28"/>
        </w:rPr>
        <w:t>;</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в</w:t>
      </w:r>
      <w:r w:rsidR="00DD24E1" w:rsidRPr="00957BB2">
        <w:rPr>
          <w:rFonts w:ascii="Times New Roman" w:hAnsi="Times New Roman" w:cs="Times New Roman"/>
          <w:sz w:val="28"/>
          <w:szCs w:val="28"/>
        </w:rPr>
        <w:t xml:space="preserve">) 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w:t>
      </w:r>
      <w:r w:rsidR="006461C0" w:rsidRPr="00957BB2">
        <w:rPr>
          <w:rFonts w:ascii="Times New Roman" w:hAnsi="Times New Roman" w:cs="Times New Roman"/>
          <w:sz w:val="28"/>
          <w:szCs w:val="28"/>
        </w:rPr>
        <w:lastRenderedPageBreak/>
        <w:t>предварительном отборе не принято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г</w:t>
      </w:r>
      <w:r w:rsidR="00DD24E1" w:rsidRPr="00957BB2">
        <w:rPr>
          <w:rFonts w:ascii="Times New Roman" w:hAnsi="Times New Roman" w:cs="Times New Roman"/>
          <w:sz w:val="28"/>
          <w:szCs w:val="28"/>
        </w:rPr>
        <w:t xml:space="preserve">)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 xml:space="preserve">) 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 xml:space="preserve">) неприостановление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ж</w:t>
      </w:r>
      <w:r w:rsidR="00DD24E1" w:rsidRPr="00957BB2">
        <w:rPr>
          <w:rFonts w:ascii="Times New Roman" w:hAnsi="Times New Roman" w:cs="Times New Roman"/>
          <w:sz w:val="28"/>
          <w:szCs w:val="28"/>
        </w:rPr>
        <w:t>) 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 xml:space="preserve">) 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 отсутствие сведений об У</w:t>
      </w:r>
      <w:r w:rsidR="00DD24E1" w:rsidRPr="00957BB2">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w:t>
      </w:r>
      <w:r w:rsidR="00DD24E1" w:rsidRPr="00957BB2">
        <w:rPr>
          <w:rFonts w:ascii="Times New Roman" w:hAnsi="Times New Roman" w:cs="Times New Roman"/>
          <w:sz w:val="28"/>
          <w:szCs w:val="28"/>
        </w:rPr>
        <w:lastRenderedPageBreak/>
        <w:t>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 xml:space="preserve">) 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л</w:t>
      </w:r>
      <w:r w:rsidR="00DD24E1" w:rsidRPr="00957BB2">
        <w:rPr>
          <w:rFonts w:ascii="Times New Roman" w:hAnsi="Times New Roman" w:cs="Times New Roman"/>
          <w:sz w:val="28"/>
          <w:szCs w:val="28"/>
        </w:rPr>
        <w:t xml:space="preserve">) 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05236" w:rsidRPr="003B0055" w:rsidRDefault="009767DD"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DD24E1" w:rsidRPr="00957BB2">
        <w:rPr>
          <w:rFonts w:ascii="Times New Roman" w:hAnsi="Times New Roman" w:cs="Times New Roman"/>
          <w:sz w:val="28"/>
          <w:szCs w:val="28"/>
        </w:rPr>
        <w:t xml:space="preserve">) </w:t>
      </w:r>
      <w:r w:rsidR="00205236" w:rsidRPr="003B0055">
        <w:rPr>
          <w:rFonts w:ascii="Times New Roman" w:hAnsi="Times New Roman" w:cs="Times New Roman"/>
          <w:sz w:val="28"/>
          <w:szCs w:val="28"/>
        </w:rPr>
        <w:t>наличие у Участника предварительного отбора в штате работников, соответствующих минимально установленным квалификационным требованиям:</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128C8" w:rsidRPr="00957BB2" w:rsidRDefault="00DF0140"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ab/>
      </w:r>
    </w:p>
    <w:p w:rsidR="000A6649" w:rsidRPr="00957BB2" w:rsidRDefault="009767DD"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w:t>
      </w:r>
      <w:r w:rsidR="00DD24E1" w:rsidRPr="00957BB2">
        <w:rPr>
          <w:rFonts w:ascii="Times New Roman" w:hAnsi="Times New Roman" w:cs="Times New Roman"/>
          <w:sz w:val="28"/>
          <w:szCs w:val="28"/>
        </w:rPr>
        <w:t xml:space="preserve">)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957BB2">
        <w:rPr>
          <w:rFonts w:ascii="Times New Roman" w:hAnsi="Times New Roman" w:cs="Times New Roman"/>
          <w:sz w:val="28"/>
          <w:szCs w:val="28"/>
        </w:rPr>
        <w:t xml:space="preserve">(трем) </w:t>
      </w:r>
      <w:r w:rsidR="00F10062" w:rsidRPr="00957BB2">
        <w:rPr>
          <w:rFonts w:ascii="Times New Roman" w:hAnsi="Times New Roman" w:cs="Times New Roman"/>
          <w:sz w:val="28"/>
          <w:szCs w:val="28"/>
        </w:rPr>
        <w:t xml:space="preserve">исполненным контрактам и (или) договорам, </w:t>
      </w:r>
      <w:r w:rsidR="00F146BF" w:rsidRPr="00957BB2">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Р</w:t>
      </w:r>
      <w:r w:rsidR="00F146BF" w:rsidRPr="00957BB2">
        <w:rPr>
          <w:rFonts w:ascii="Times New Roman" w:hAnsi="Times New Roman" w:cs="Times New Roman"/>
          <w:sz w:val="28"/>
          <w:szCs w:val="28"/>
        </w:rPr>
        <w:t xml:space="preserve">азмер стоимости оказанных услуг и (или) выполненных работ по </w:t>
      </w:r>
      <w:r w:rsidR="006F5917" w:rsidRPr="00957BB2">
        <w:rPr>
          <w:rFonts w:ascii="Times New Roman" w:hAnsi="Times New Roman" w:cs="Times New Roman"/>
          <w:sz w:val="28"/>
          <w:szCs w:val="28"/>
        </w:rPr>
        <w:t>всем</w:t>
      </w:r>
      <w:r w:rsidR="00F146BF" w:rsidRPr="00957BB2">
        <w:rPr>
          <w:rFonts w:ascii="Times New Roman" w:hAnsi="Times New Roman" w:cs="Times New Roman"/>
          <w:sz w:val="28"/>
          <w:szCs w:val="28"/>
        </w:rPr>
        <w:t xml:space="preserve"> исполненным контрактам и (или) договорам</w:t>
      </w:r>
      <w:r w:rsidR="006F5917" w:rsidRPr="00957BB2">
        <w:rPr>
          <w:rFonts w:ascii="Times New Roman" w:hAnsi="Times New Roman" w:cs="Times New Roman"/>
          <w:sz w:val="28"/>
          <w:szCs w:val="28"/>
        </w:rPr>
        <w:t>, представленным Участником</w:t>
      </w:r>
      <w:r w:rsidR="000A6649" w:rsidRPr="00957BB2">
        <w:rPr>
          <w:rFonts w:ascii="Times New Roman" w:hAnsi="Times New Roman" w:cs="Times New Roman"/>
          <w:sz w:val="28"/>
          <w:szCs w:val="28"/>
        </w:rPr>
        <w:t xml:space="preserve"> предварительного отбора</w:t>
      </w:r>
      <w:r w:rsidRPr="00957BB2">
        <w:rPr>
          <w:rFonts w:ascii="Times New Roman" w:hAnsi="Times New Roman" w:cs="Times New Roman"/>
          <w:sz w:val="28"/>
          <w:szCs w:val="28"/>
        </w:rPr>
        <w:t xml:space="preserve"> и соответствующим требованиям настоящего пункта</w:t>
      </w:r>
      <w:r w:rsidR="000A6649" w:rsidRPr="00957BB2">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957BB2">
        <w:rPr>
          <w:rFonts w:ascii="Times New Roman" w:hAnsi="Times New Roman" w:cs="Times New Roman"/>
          <w:sz w:val="28"/>
          <w:szCs w:val="28"/>
        </w:rPr>
        <w:t>.</w:t>
      </w:r>
    </w:p>
    <w:p w:rsidR="00F10062"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Минимальный размер</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957BB2">
        <w:rPr>
          <w:rFonts w:ascii="Times New Roman" w:hAnsi="Times New Roman" w:cs="Times New Roman"/>
          <w:sz w:val="28"/>
          <w:szCs w:val="28"/>
        </w:rPr>
        <w:t xml:space="preserve">установлен в подпункте </w:t>
      </w:r>
      <w:r w:rsidR="003E00F7" w:rsidRPr="00957BB2">
        <w:rPr>
          <w:rFonts w:ascii="Times New Roman" w:hAnsi="Times New Roman" w:cs="Times New Roman"/>
          <w:sz w:val="28"/>
          <w:szCs w:val="28"/>
        </w:rPr>
        <w:t>«н</w:t>
      </w:r>
      <w:r w:rsidR="00F146BF" w:rsidRPr="00957BB2">
        <w:rPr>
          <w:rFonts w:ascii="Times New Roman" w:hAnsi="Times New Roman" w:cs="Times New Roman"/>
          <w:sz w:val="28"/>
          <w:szCs w:val="28"/>
        </w:rPr>
        <w:t xml:space="preserve">» пункта 4 раздела </w:t>
      </w:r>
      <w:r w:rsidR="00F146BF" w:rsidRPr="00957BB2">
        <w:rPr>
          <w:rFonts w:ascii="Times New Roman" w:hAnsi="Times New Roman" w:cs="Times New Roman"/>
          <w:sz w:val="28"/>
          <w:szCs w:val="28"/>
          <w:lang w:val="en-US"/>
        </w:rPr>
        <w:t>VI</w:t>
      </w:r>
      <w:r w:rsidR="00F146BF" w:rsidRPr="00957BB2">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Default="00E670A7" w:rsidP="002A4012">
      <w:pPr>
        <w:spacing w:line="240" w:lineRule="auto"/>
        <w:ind w:firstLine="709"/>
        <w:jc w:val="both"/>
        <w:rPr>
          <w:rFonts w:ascii="Times New Roman" w:hAnsi="Times New Roman" w:cs="Times New Roman"/>
          <w:sz w:val="28"/>
          <w:szCs w:val="28"/>
        </w:rPr>
      </w:pPr>
    </w:p>
    <w:p w:rsidR="002A4012" w:rsidRPr="00957BB2"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б)</w:t>
      </w:r>
      <w:r w:rsidR="00134B9D">
        <w:rPr>
          <w:rStyle w:val="a9"/>
          <w:rFonts w:ascii="Times New Roman" w:hAnsi="Times New Roman" w:cs="Times New Roman"/>
          <w:sz w:val="28"/>
          <w:szCs w:val="28"/>
        </w:rPr>
        <w:t xml:space="preserve">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w:t>
      </w:r>
      <w:r w:rsidR="000C1235" w:rsidRPr="00957BB2">
        <w:rPr>
          <w:rStyle w:val="a9"/>
          <w:rFonts w:ascii="Times New Roman" w:hAnsi="Times New Roman" w:cs="Times New Roman"/>
          <w:sz w:val="28"/>
          <w:szCs w:val="28"/>
        </w:rPr>
        <w:lastRenderedPageBreak/>
        <w:t xml:space="preserve">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 xml:space="preserve">в)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7C7506"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е</w:t>
      </w:r>
      <w:r w:rsidR="001E2B29" w:rsidRPr="00957BB2">
        <w:rPr>
          <w:rStyle w:val="a9"/>
          <w:rFonts w:ascii="Times New Roman" w:hAnsi="Times New Roman" w:cs="Times New Roman"/>
          <w:sz w:val="28"/>
          <w:szCs w:val="28"/>
        </w:rPr>
        <w:t>)</w:t>
      </w:r>
      <w:r w:rsidR="00134B9D">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D47613" w:rsidRPr="00957BB2" w:rsidRDefault="00D47613" w:rsidP="00656FB2">
      <w:pPr>
        <w:tabs>
          <w:tab w:val="left" w:pos="993"/>
        </w:tabs>
        <w:spacing w:after="0" w:line="240" w:lineRule="auto"/>
        <w:ind w:firstLine="709"/>
        <w:jc w:val="both"/>
        <w:rPr>
          <w:rFonts w:ascii="Times New Roman" w:hAnsi="Times New Roman" w:cs="Times New Roman"/>
          <w:sz w:val="28"/>
          <w:szCs w:val="28"/>
        </w:rPr>
      </w:pPr>
      <w:r w:rsidRPr="00957BB2">
        <w:rPr>
          <w:rStyle w:val="a9"/>
          <w:rFonts w:ascii="Times New Roman" w:hAnsi="Times New Roman" w:cs="Times New Roman"/>
          <w:sz w:val="28"/>
          <w:szCs w:val="28"/>
        </w:rPr>
        <w:t xml:space="preserve">ж) </w:t>
      </w:r>
      <w:r w:rsidRPr="00957BB2">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sidR="003E00F7" w:rsidRPr="00957BB2">
        <w:rPr>
          <w:rFonts w:ascii="Times New Roman" w:hAnsi="Times New Roman" w:cs="Times New Roman"/>
          <w:sz w:val="28"/>
          <w:szCs w:val="28"/>
        </w:rPr>
        <w:t>;</w:t>
      </w:r>
    </w:p>
    <w:p w:rsidR="00834951"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з</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справки</w:t>
      </w:r>
      <w:r w:rsidR="00CF2B55" w:rsidRPr="00957BB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957BB2">
        <w:rPr>
          <w:rStyle w:val="a9"/>
          <w:rFonts w:ascii="Times New Roman" w:hAnsi="Times New Roman" w:cs="Times New Roman"/>
          <w:sz w:val="28"/>
          <w:szCs w:val="28"/>
        </w:rPr>
        <w:t>ется З</w:t>
      </w:r>
      <w:r w:rsidR="007B6AEC" w:rsidRPr="00957BB2">
        <w:rPr>
          <w:rStyle w:val="a9"/>
          <w:rFonts w:ascii="Times New Roman" w:hAnsi="Times New Roman" w:cs="Times New Roman"/>
          <w:sz w:val="28"/>
          <w:szCs w:val="28"/>
        </w:rPr>
        <w:t>аявка</w:t>
      </w:r>
      <w:r w:rsidR="00834951" w:rsidRPr="00957BB2">
        <w:rPr>
          <w:rStyle w:val="a9"/>
          <w:rFonts w:ascii="Times New Roman" w:hAnsi="Times New Roman" w:cs="Times New Roman"/>
          <w:sz w:val="28"/>
          <w:szCs w:val="28"/>
        </w:rPr>
        <w:t>;</w:t>
      </w:r>
    </w:p>
    <w:p w:rsidR="00E6391E"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и</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957BB2">
        <w:rPr>
          <w:rStyle w:val="a9"/>
          <w:rFonts w:ascii="Times New Roman" w:hAnsi="Times New Roman" w:cs="Times New Roman"/>
          <w:sz w:val="28"/>
          <w:szCs w:val="28"/>
        </w:rPr>
        <w:t>я физическим лицам, составленного</w:t>
      </w:r>
      <w:r w:rsidR="007C7506" w:rsidRPr="00957BB2">
        <w:rPr>
          <w:rStyle w:val="a9"/>
          <w:rFonts w:ascii="Times New Roman" w:hAnsi="Times New Roman" w:cs="Times New Roman"/>
          <w:sz w:val="28"/>
          <w:szCs w:val="28"/>
        </w:rPr>
        <w:t xml:space="preserve"> за </w:t>
      </w:r>
      <w:r w:rsidR="00E6391E" w:rsidRPr="00957BB2">
        <w:rPr>
          <w:rStyle w:val="a9"/>
          <w:rFonts w:ascii="Times New Roman" w:hAnsi="Times New Roman" w:cs="Times New Roman"/>
          <w:sz w:val="28"/>
          <w:szCs w:val="28"/>
        </w:rPr>
        <w:t xml:space="preserve">последний </w:t>
      </w:r>
      <w:r w:rsidR="007C7506" w:rsidRPr="00957BB2">
        <w:rPr>
          <w:rStyle w:val="a9"/>
          <w:rFonts w:ascii="Times New Roman" w:hAnsi="Times New Roman" w:cs="Times New Roman"/>
          <w:sz w:val="28"/>
          <w:szCs w:val="28"/>
        </w:rPr>
        <w:t>отчетный период</w:t>
      </w:r>
      <w:r w:rsidR="00E6391E" w:rsidRPr="00957BB2">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957BB2">
        <w:rPr>
          <w:rStyle w:val="a9"/>
          <w:rFonts w:ascii="Times New Roman" w:hAnsi="Times New Roman" w:cs="Times New Roman"/>
          <w:sz w:val="28"/>
          <w:szCs w:val="28"/>
        </w:rPr>
        <w:t xml:space="preserve"> по форме, утвержденной </w:t>
      </w:r>
      <w:r w:rsidR="00E6391E" w:rsidRPr="00957BB2">
        <w:rPr>
          <w:rStyle w:val="a9"/>
          <w:rFonts w:ascii="Times New Roman" w:hAnsi="Times New Roman" w:cs="Times New Roman"/>
          <w:sz w:val="28"/>
          <w:szCs w:val="28"/>
        </w:rPr>
        <w:t>уполномоченным органом</w:t>
      </w:r>
      <w:r w:rsidR="007C7506" w:rsidRPr="00957BB2">
        <w:rPr>
          <w:rStyle w:val="a9"/>
          <w:rFonts w:ascii="Times New Roman" w:hAnsi="Times New Roman" w:cs="Times New Roman"/>
          <w:sz w:val="28"/>
          <w:szCs w:val="28"/>
        </w:rPr>
        <w:t xml:space="preserve">, с отметкой </w:t>
      </w:r>
      <w:r w:rsidR="00E6391E" w:rsidRPr="00957BB2">
        <w:rPr>
          <w:rStyle w:val="a9"/>
          <w:rFonts w:ascii="Times New Roman" w:hAnsi="Times New Roman" w:cs="Times New Roman"/>
          <w:sz w:val="28"/>
          <w:szCs w:val="28"/>
        </w:rPr>
        <w:t>уполномоченного органа</w:t>
      </w:r>
      <w:r w:rsidR="007C7506" w:rsidRPr="00957BB2">
        <w:rPr>
          <w:rStyle w:val="a9"/>
          <w:rFonts w:ascii="Times New Roman" w:hAnsi="Times New Roman" w:cs="Times New Roman"/>
          <w:sz w:val="28"/>
          <w:szCs w:val="28"/>
        </w:rPr>
        <w:t xml:space="preserve"> о приеме или с приложением </w:t>
      </w:r>
      <w:r w:rsidR="00E6391E" w:rsidRPr="00957BB2">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к</w:t>
      </w:r>
      <w:r w:rsidR="003803CD" w:rsidRPr="00957BB2">
        <w:rPr>
          <w:rStyle w:val="a9"/>
          <w:rFonts w:ascii="Times New Roman" w:hAnsi="Times New Roman" w:cs="Times New Roman"/>
          <w:sz w:val="28"/>
          <w:szCs w:val="28"/>
        </w:rPr>
        <w:t xml:space="preserve">) </w:t>
      </w:r>
      <w:r w:rsidR="00E6391E" w:rsidRPr="00957BB2">
        <w:rPr>
          <w:rStyle w:val="a9"/>
          <w:rFonts w:ascii="Times New Roman" w:hAnsi="Times New Roman" w:cs="Times New Roman"/>
          <w:sz w:val="28"/>
          <w:szCs w:val="28"/>
        </w:rPr>
        <w:t>копия штатного расписания</w:t>
      </w:r>
      <w:r w:rsidR="00BD2FA1" w:rsidRPr="00957BB2">
        <w:rPr>
          <w:rStyle w:val="a9"/>
          <w:rFonts w:ascii="Times New Roman" w:hAnsi="Times New Roman" w:cs="Times New Roman"/>
          <w:sz w:val="28"/>
          <w:szCs w:val="28"/>
        </w:rPr>
        <w:t>;</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л</w:t>
      </w:r>
      <w:r w:rsidR="003803CD" w:rsidRPr="00957BB2">
        <w:rPr>
          <w:rStyle w:val="a9"/>
          <w:rFonts w:ascii="Times New Roman" w:hAnsi="Times New Roman" w:cs="Times New Roman"/>
          <w:sz w:val="28"/>
          <w:szCs w:val="28"/>
        </w:rPr>
        <w:t xml:space="preserve">) </w:t>
      </w:r>
      <w:r w:rsidR="00CF2B55" w:rsidRPr="00957BB2">
        <w:rPr>
          <w:rStyle w:val="a9"/>
          <w:rFonts w:ascii="Times New Roman" w:hAnsi="Times New Roman" w:cs="Times New Roman"/>
          <w:sz w:val="28"/>
          <w:szCs w:val="28"/>
        </w:rPr>
        <w:t>штатно-списочный состав сотрудников</w:t>
      </w:r>
      <w:r w:rsidR="003803CD" w:rsidRPr="00957BB2">
        <w:rPr>
          <w:rStyle w:val="a9"/>
          <w:rFonts w:ascii="Times New Roman" w:hAnsi="Times New Roman" w:cs="Times New Roman"/>
          <w:sz w:val="28"/>
          <w:szCs w:val="28"/>
        </w:rPr>
        <w:t>, подготовленный по форме приложения № 2 к</w:t>
      </w:r>
      <w:r w:rsidR="000B6D93" w:rsidRPr="00957BB2">
        <w:rPr>
          <w:rStyle w:val="a9"/>
          <w:rFonts w:ascii="Times New Roman" w:hAnsi="Times New Roman" w:cs="Times New Roman"/>
          <w:sz w:val="28"/>
          <w:szCs w:val="28"/>
        </w:rPr>
        <w:t xml:space="preserve"> Д</w:t>
      </w:r>
      <w:r w:rsidR="00BD2FA1" w:rsidRPr="00957BB2">
        <w:rPr>
          <w:rStyle w:val="a9"/>
          <w:rFonts w:ascii="Times New Roman" w:hAnsi="Times New Roman" w:cs="Times New Roman"/>
          <w:sz w:val="28"/>
          <w:szCs w:val="28"/>
        </w:rPr>
        <w:t xml:space="preserve">окументации </w:t>
      </w:r>
      <w:r w:rsidR="000B6D93" w:rsidRPr="00957BB2">
        <w:rPr>
          <w:rStyle w:val="a9"/>
          <w:rFonts w:ascii="Times New Roman" w:hAnsi="Times New Roman" w:cs="Times New Roman"/>
          <w:sz w:val="28"/>
          <w:szCs w:val="28"/>
        </w:rPr>
        <w:t>о проведении предварительного отбора</w:t>
      </w:r>
      <w:r w:rsidR="00BD2FA1" w:rsidRPr="00957BB2">
        <w:rPr>
          <w:rStyle w:val="a9"/>
          <w:rFonts w:ascii="Times New Roman" w:hAnsi="Times New Roman" w:cs="Times New Roman"/>
          <w:sz w:val="28"/>
          <w:szCs w:val="28"/>
        </w:rPr>
        <w:t>;</w:t>
      </w:r>
    </w:p>
    <w:p w:rsidR="00CF2B55"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м</w:t>
      </w:r>
      <w:r w:rsidR="003803CD" w:rsidRPr="00957BB2">
        <w:rPr>
          <w:rStyle w:val="a9"/>
          <w:rFonts w:ascii="Times New Roman" w:hAnsi="Times New Roman" w:cs="Times New Roman"/>
          <w:sz w:val="28"/>
          <w:szCs w:val="28"/>
        </w:rPr>
        <w:t>) </w:t>
      </w:r>
      <w:r w:rsidR="00C141B4" w:rsidRPr="00957BB2">
        <w:rPr>
          <w:rStyle w:val="a9"/>
          <w:rFonts w:ascii="Times New Roman" w:hAnsi="Times New Roman" w:cs="Times New Roman"/>
          <w:sz w:val="28"/>
          <w:szCs w:val="28"/>
        </w:rPr>
        <w:t>копии трудовых</w:t>
      </w:r>
      <w:r w:rsidR="003803CD" w:rsidRPr="00957BB2">
        <w:rPr>
          <w:rStyle w:val="a9"/>
          <w:rFonts w:ascii="Times New Roman" w:hAnsi="Times New Roman" w:cs="Times New Roman"/>
          <w:sz w:val="28"/>
          <w:szCs w:val="28"/>
        </w:rPr>
        <w:t xml:space="preserve"> книж</w:t>
      </w:r>
      <w:r w:rsidR="00C141B4" w:rsidRPr="00957BB2">
        <w:rPr>
          <w:rStyle w:val="a9"/>
          <w:rFonts w:ascii="Times New Roman" w:hAnsi="Times New Roman" w:cs="Times New Roman"/>
          <w:sz w:val="28"/>
          <w:szCs w:val="28"/>
        </w:rPr>
        <w:t>ек</w:t>
      </w:r>
      <w:r w:rsidR="006817D2">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6817D2" w:rsidRPr="006817D2">
          <w:rPr>
            <w:rStyle w:val="a9"/>
            <w:rFonts w:ascii="Times New Roman" w:hAnsi="Times New Roman" w:cs="Times New Roman"/>
            <w:sz w:val="28"/>
            <w:szCs w:val="28"/>
          </w:rPr>
          <w:t>статьей 66 </w:t>
        </w:r>
        <w:r w:rsidR="006817D2" w:rsidRPr="006817D2">
          <w:rPr>
            <w:rStyle w:val="a9"/>
            <w:rFonts w:ascii="Times New Roman" w:hAnsi="Times New Roman" w:cs="Times New Roman"/>
            <w:sz w:val="28"/>
            <w:szCs w:val="28"/>
            <w:vertAlign w:val="superscript"/>
          </w:rPr>
          <w:t>1</w:t>
        </w:r>
      </w:hyperlink>
      <w:r w:rsidR="006817D2">
        <w:rPr>
          <w:rStyle w:val="a9"/>
          <w:rFonts w:ascii="Times New Roman" w:hAnsi="Times New Roman" w:cs="Times New Roman"/>
          <w:sz w:val="28"/>
          <w:szCs w:val="28"/>
        </w:rPr>
        <w:t> Трудового кодекса Российской Федерации</w:t>
      </w:r>
      <w:r w:rsidR="00C141B4" w:rsidRPr="00957BB2">
        <w:rPr>
          <w:rStyle w:val="a9"/>
          <w:rFonts w:ascii="Times New Roman" w:hAnsi="Times New Roman" w:cs="Times New Roman"/>
          <w:sz w:val="28"/>
          <w:szCs w:val="28"/>
        </w:rPr>
        <w:t>, дипломов</w:t>
      </w:r>
      <w:r w:rsidR="003803CD" w:rsidRPr="00957BB2">
        <w:rPr>
          <w:rStyle w:val="a9"/>
          <w:rFonts w:ascii="Times New Roman" w:hAnsi="Times New Roman" w:cs="Times New Roman"/>
          <w:sz w:val="28"/>
          <w:szCs w:val="28"/>
        </w:rPr>
        <w:t>, сертификат</w:t>
      </w:r>
      <w:r w:rsidR="00C141B4" w:rsidRPr="00957BB2">
        <w:rPr>
          <w:rStyle w:val="a9"/>
          <w:rFonts w:ascii="Times New Roman" w:hAnsi="Times New Roman" w:cs="Times New Roman"/>
          <w:sz w:val="28"/>
          <w:szCs w:val="28"/>
        </w:rPr>
        <w:t>ов</w:t>
      </w:r>
      <w:r w:rsidR="009C7248" w:rsidRPr="00957BB2">
        <w:rPr>
          <w:rStyle w:val="a9"/>
          <w:rFonts w:ascii="Times New Roman" w:hAnsi="Times New Roman" w:cs="Times New Roman"/>
          <w:sz w:val="28"/>
          <w:szCs w:val="28"/>
        </w:rPr>
        <w:t xml:space="preserve">, </w:t>
      </w:r>
      <w:r w:rsidR="00C141B4" w:rsidRPr="00957BB2">
        <w:rPr>
          <w:rStyle w:val="a9"/>
          <w:rFonts w:ascii="Times New Roman" w:hAnsi="Times New Roman" w:cs="Times New Roman"/>
          <w:sz w:val="28"/>
          <w:szCs w:val="28"/>
        </w:rPr>
        <w:t>аттестатов</w:t>
      </w:r>
      <w:r w:rsidR="009C7248" w:rsidRPr="00957BB2">
        <w:rPr>
          <w:rStyle w:val="a9"/>
          <w:rFonts w:ascii="Times New Roman" w:hAnsi="Times New Roman" w:cs="Times New Roman"/>
          <w:sz w:val="28"/>
          <w:szCs w:val="28"/>
        </w:rPr>
        <w:t xml:space="preserve"> и удостоверений</w:t>
      </w:r>
      <w:r w:rsidR="00CF2B55" w:rsidRPr="00957BB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957BB2">
        <w:rPr>
          <w:rStyle w:val="a9"/>
          <w:rFonts w:ascii="Times New Roman" w:hAnsi="Times New Roman" w:cs="Times New Roman"/>
          <w:sz w:val="28"/>
          <w:szCs w:val="28"/>
        </w:rPr>
        <w:t xml:space="preserve">, установленного пунктом </w:t>
      </w:r>
      <w:r w:rsidRPr="00957BB2">
        <w:rPr>
          <w:rStyle w:val="a9"/>
          <w:rFonts w:ascii="Times New Roman" w:hAnsi="Times New Roman" w:cs="Times New Roman"/>
          <w:sz w:val="28"/>
          <w:szCs w:val="28"/>
        </w:rPr>
        <w:t>«м</w:t>
      </w:r>
      <w:r w:rsidR="00AF12E9" w:rsidRPr="00957BB2">
        <w:rPr>
          <w:rStyle w:val="a9"/>
          <w:rFonts w:ascii="Times New Roman" w:hAnsi="Times New Roman" w:cs="Times New Roman"/>
          <w:sz w:val="28"/>
          <w:szCs w:val="28"/>
        </w:rPr>
        <w:t>»</w:t>
      </w:r>
      <w:r w:rsidR="00E2795E" w:rsidRPr="00957BB2">
        <w:rPr>
          <w:rStyle w:val="a9"/>
          <w:rFonts w:ascii="Times New Roman" w:hAnsi="Times New Roman" w:cs="Times New Roman"/>
          <w:sz w:val="28"/>
          <w:szCs w:val="28"/>
        </w:rPr>
        <w:t xml:space="preserve"> Раздела </w:t>
      </w:r>
      <w:r w:rsidR="00E2795E" w:rsidRPr="00957BB2">
        <w:rPr>
          <w:rStyle w:val="a9"/>
          <w:rFonts w:ascii="Times New Roman" w:hAnsi="Times New Roman" w:cs="Times New Roman"/>
          <w:sz w:val="28"/>
          <w:szCs w:val="28"/>
          <w:lang w:val="en-US"/>
        </w:rPr>
        <w:t>V</w:t>
      </w:r>
      <w:r w:rsidR="00205236">
        <w:rPr>
          <w:rStyle w:val="a9"/>
          <w:rFonts w:ascii="Times New Roman" w:hAnsi="Times New Roman" w:cs="Times New Roman"/>
          <w:sz w:val="28"/>
          <w:szCs w:val="28"/>
        </w:rPr>
        <w:t xml:space="preserve"> </w:t>
      </w:r>
      <w:r w:rsidR="00AF12E9" w:rsidRPr="00957BB2">
        <w:rPr>
          <w:rFonts w:ascii="Times New Roman" w:hAnsi="Times New Roman" w:cs="Times New Roman"/>
          <w:sz w:val="28"/>
          <w:szCs w:val="28"/>
        </w:rPr>
        <w:t>Требований к участникам предварительного отбора</w:t>
      </w:r>
      <w:r w:rsidR="00CF2B55" w:rsidRPr="00957BB2">
        <w:rPr>
          <w:rStyle w:val="a9"/>
          <w:rFonts w:ascii="Times New Roman" w:hAnsi="Times New Roman" w:cs="Times New Roman"/>
          <w:sz w:val="28"/>
          <w:szCs w:val="28"/>
        </w:rPr>
        <w:t>;</w:t>
      </w:r>
    </w:p>
    <w:p w:rsidR="009C7248" w:rsidRPr="00957BB2" w:rsidRDefault="003E00F7" w:rsidP="00D4023D">
      <w:pPr>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н</w:t>
      </w:r>
      <w:r w:rsidR="0063318E" w:rsidRPr="00957BB2">
        <w:rPr>
          <w:rStyle w:val="a9"/>
          <w:rFonts w:ascii="Times New Roman" w:hAnsi="Times New Roman" w:cs="Times New Roman"/>
          <w:sz w:val="28"/>
          <w:szCs w:val="28"/>
        </w:rPr>
        <w:t xml:space="preserve">) </w:t>
      </w:r>
      <w:r w:rsidR="009C7248" w:rsidRPr="00957BB2">
        <w:rPr>
          <w:rStyle w:val="a9"/>
          <w:rFonts w:ascii="Times New Roman" w:hAnsi="Times New Roman" w:cs="Times New Roman"/>
          <w:sz w:val="28"/>
          <w:szCs w:val="28"/>
        </w:rPr>
        <w:t xml:space="preserve">копии </w:t>
      </w:r>
      <w:r w:rsidR="00CF2B55" w:rsidRPr="00957BB2">
        <w:rPr>
          <w:rStyle w:val="a9"/>
          <w:rFonts w:ascii="Times New Roman" w:hAnsi="Times New Roman" w:cs="Times New Roman"/>
          <w:sz w:val="28"/>
          <w:szCs w:val="28"/>
        </w:rPr>
        <w:t xml:space="preserve">не менее 3 </w:t>
      </w:r>
      <w:r w:rsidR="00C141B4" w:rsidRPr="00957BB2">
        <w:rPr>
          <w:rStyle w:val="a9"/>
          <w:rFonts w:ascii="Times New Roman" w:hAnsi="Times New Roman" w:cs="Times New Roman"/>
          <w:sz w:val="28"/>
          <w:szCs w:val="28"/>
        </w:rPr>
        <w:t xml:space="preserve">(трех) </w:t>
      </w:r>
      <w:r w:rsidR="009C7248" w:rsidRPr="00957BB2">
        <w:rPr>
          <w:rStyle w:val="a9"/>
          <w:rFonts w:ascii="Times New Roman" w:hAnsi="Times New Roman" w:cs="Times New Roman"/>
          <w:sz w:val="28"/>
          <w:szCs w:val="28"/>
        </w:rPr>
        <w:t xml:space="preserve">исполненных </w:t>
      </w:r>
      <w:r w:rsidR="00CF2B55" w:rsidRPr="00957BB2">
        <w:rPr>
          <w:rStyle w:val="a9"/>
          <w:rFonts w:ascii="Times New Roman" w:hAnsi="Times New Roman" w:cs="Times New Roman"/>
          <w:sz w:val="28"/>
          <w:szCs w:val="28"/>
        </w:rPr>
        <w:t xml:space="preserve">контрактов </w:t>
      </w:r>
      <w:r w:rsidR="009C7248" w:rsidRPr="00957BB2">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w:t>
      </w:r>
      <w:r w:rsidR="009C7248" w:rsidRPr="00957BB2">
        <w:rPr>
          <w:rStyle w:val="a9"/>
          <w:rFonts w:ascii="Times New Roman" w:hAnsi="Times New Roman" w:cs="Times New Roman"/>
          <w:sz w:val="28"/>
          <w:szCs w:val="28"/>
        </w:rPr>
        <w:lastRenderedPageBreak/>
        <w:t>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Pr="00957BB2" w:rsidRDefault="00E54FC2" w:rsidP="00D96A1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пп</w:t>
            </w:r>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957BB2"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более </w:t>
            </w:r>
            <w:r w:rsidR="001265EA" w:rsidRPr="00957BB2">
              <w:rPr>
                <w:rFonts w:ascii="Times New Roman" w:hAnsi="Times New Roman" w:cs="Times New Roman"/>
                <w:sz w:val="28"/>
                <w:szCs w:val="28"/>
              </w:rPr>
              <w:t xml:space="preserve">60 млн. рублей </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13C52">
              <w:rPr>
                <w:rFonts w:ascii="Times New Roman" w:hAnsi="Times New Roman" w:cs="Times New Roman"/>
                <w:sz w:val="28"/>
                <w:szCs w:val="28"/>
              </w:rPr>
              <w:t>3</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A77E6" w:rsidRPr="00957BB2">
              <w:rPr>
                <w:rFonts w:ascii="Times New Roman" w:hAnsi="Times New Roman" w:cs="Times New Roman"/>
                <w:sz w:val="28"/>
                <w:szCs w:val="28"/>
              </w:rPr>
              <w:t>1%</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bl>
    <w:p w:rsidR="00A13C52" w:rsidRPr="003B0055" w:rsidRDefault="00A13C52" w:rsidP="00A13C52">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AF12E9" w:rsidRPr="00957BB2"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957BB2">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957BB2"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 xml:space="preserve">требованиями Федерального закона «О </w:t>
      </w:r>
      <w:r w:rsidR="00ED47F3" w:rsidRPr="00957BB2">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 xml:space="preserve">РКП </w:t>
      </w:r>
      <w:r w:rsidR="00131B55" w:rsidRPr="00957BB2">
        <w:rPr>
          <w:rFonts w:ascii="Times New Roman" w:hAnsi="Times New Roman" w:cs="Times New Roman"/>
          <w:sz w:val="28"/>
          <w:szCs w:val="28"/>
        </w:rPr>
        <w:t>в случаях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957BB2"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957BB2"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Разъяснение</w:t>
      </w:r>
      <w:r w:rsidR="000B6D93" w:rsidRPr="00957BB2">
        <w:rPr>
          <w:rFonts w:ascii="Times New Roman" w:hAnsi="Times New Roman" w:cs="Times New Roman"/>
          <w:b/>
          <w:sz w:val="28"/>
          <w:szCs w:val="28"/>
        </w:rPr>
        <w:t xml:space="preserve"> положений Д</w:t>
      </w:r>
      <w:r w:rsidR="0014438E" w:rsidRPr="00957BB2">
        <w:rPr>
          <w:rFonts w:ascii="Times New Roman" w:hAnsi="Times New Roman" w:cs="Times New Roman"/>
          <w:b/>
          <w:sz w:val="28"/>
          <w:szCs w:val="28"/>
        </w:rPr>
        <w:t>окументации</w:t>
      </w:r>
      <w:r w:rsidR="00626059" w:rsidRPr="00957BB2">
        <w:rPr>
          <w:rFonts w:ascii="Times New Roman" w:hAnsi="Times New Roman" w:cs="Times New Roman"/>
          <w:b/>
          <w:sz w:val="28"/>
          <w:szCs w:val="28"/>
        </w:rPr>
        <w:t xml:space="preserve">, внесение изменений в </w:t>
      </w:r>
      <w:r w:rsidR="003D6EFB" w:rsidRPr="00957BB2">
        <w:rPr>
          <w:rFonts w:ascii="Times New Roman" w:hAnsi="Times New Roman" w:cs="Times New Roman"/>
          <w:b/>
          <w:sz w:val="28"/>
          <w:szCs w:val="28"/>
        </w:rPr>
        <w:t>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Pr="00957BB2" w:rsidRDefault="000111F1" w:rsidP="00A07B63">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позднее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Запрос должен быть подписан, усиленной неквалифицированной 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0111F1">
      <w:pPr>
        <w:pStyle w:val="ConsPlusNormal"/>
        <w:tabs>
          <w:tab w:val="left" w:pos="993"/>
        </w:tabs>
        <w:jc w:val="center"/>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 xml:space="preserve">2.2. В течение одного рабочего дня со дня принятия указанного решения </w:t>
      </w:r>
      <w:r w:rsidRPr="00957BB2">
        <w:rPr>
          <w:rFonts w:ascii="Times New Roman" w:eastAsia="Times New Roman" w:hAnsi="Times New Roman" w:cs="Times New Roman"/>
          <w:sz w:val="28"/>
          <w:szCs w:val="28"/>
        </w:rPr>
        <w:lastRenderedPageBreak/>
        <w:t>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957B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957BB2"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Pr="00957BB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957BB2" w:rsidRDefault="00814707"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957BB2">
        <w:rPr>
          <w:rFonts w:ascii="Times New Roman" w:hAnsi="Times New Roman" w:cs="Times New Roman"/>
          <w:sz w:val="28"/>
          <w:szCs w:val="28"/>
        </w:rPr>
        <w:t>Орган</w:t>
      </w:r>
      <w:r w:rsidR="000B03A3" w:rsidRPr="00957BB2">
        <w:rPr>
          <w:rFonts w:ascii="Times New Roman" w:hAnsi="Times New Roman" w:cs="Times New Roman"/>
          <w:sz w:val="28"/>
          <w:szCs w:val="28"/>
        </w:rPr>
        <w:t>ом</w:t>
      </w:r>
      <w:r w:rsidR="00493503" w:rsidRPr="00957BB2">
        <w:rPr>
          <w:rFonts w:ascii="Times New Roman" w:hAnsi="Times New Roman" w:cs="Times New Roman"/>
          <w:sz w:val="28"/>
          <w:szCs w:val="28"/>
        </w:rPr>
        <w:t xml:space="preserve"> по ведению РКП </w:t>
      </w:r>
      <w:r w:rsidRPr="00957BB2">
        <w:rPr>
          <w:rFonts w:ascii="Times New Roman" w:hAnsi="Times New Roman" w:cs="Times New Roman"/>
          <w:sz w:val="28"/>
          <w:szCs w:val="28"/>
        </w:rPr>
        <w:t>до начала проведения предварительного отбора.</w:t>
      </w:r>
    </w:p>
    <w:p w:rsidR="00493503" w:rsidRPr="00957BB2" w:rsidRDefault="00493503"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957BB2">
        <w:rPr>
          <w:rFonts w:ascii="Times New Roman" w:hAnsi="Times New Roman" w:cs="Times New Roman"/>
          <w:sz w:val="28"/>
          <w:szCs w:val="28"/>
        </w:rPr>
        <w:t xml:space="preserve">: </w:t>
      </w:r>
      <w:hyperlink r:id="rId14" w:history="1">
        <w:r w:rsidR="005006C7" w:rsidRPr="00957BB2">
          <w:rPr>
            <w:rStyle w:val="a5"/>
            <w:rFonts w:ascii="Times New Roman" w:hAnsi="Times New Roman" w:cs="Times New Roman"/>
            <w:bCs/>
            <w:color w:val="auto"/>
            <w:sz w:val="28"/>
            <w:szCs w:val="28"/>
          </w:rPr>
          <w:t>http://stjkh.admin-smolensk.ru</w:t>
        </w:r>
      </w:hyperlink>
      <w:r w:rsidR="005006C7" w:rsidRPr="00957BB2">
        <w:rPr>
          <w:rFonts w:ascii="Times New Roman" w:hAnsi="Times New Roman" w:cs="Times New Roman"/>
          <w:bCs/>
          <w:sz w:val="28"/>
          <w:szCs w:val="28"/>
        </w:rPr>
        <w:t>.</w:t>
      </w:r>
    </w:p>
    <w:p w:rsidR="009C09CF" w:rsidRPr="00957BB2" w:rsidRDefault="00493503"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Участие в предварительном отборе и заседания</w:t>
      </w:r>
      <w:r w:rsidR="0010455B" w:rsidRPr="00957BB2">
        <w:rPr>
          <w:rFonts w:ascii="Times New Roman" w:hAnsi="Times New Roman" w:cs="Times New Roman"/>
          <w:sz w:val="28"/>
          <w:szCs w:val="28"/>
        </w:rPr>
        <w:t>х</w:t>
      </w:r>
      <w:r w:rsidRPr="00957BB2">
        <w:rPr>
          <w:rFonts w:ascii="Times New Roman" w:hAnsi="Times New Roman" w:cs="Times New Roman"/>
          <w:sz w:val="28"/>
          <w:szCs w:val="28"/>
        </w:rPr>
        <w:t xml:space="preserve"> Комиссии осуществляется без взимания платы с Участника</w:t>
      </w:r>
      <w:r w:rsidR="0010455B" w:rsidRPr="00957BB2">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Pr="00957BB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отбора </w:t>
      </w:r>
      <w:r w:rsidRPr="00957BB2">
        <w:rPr>
          <w:rFonts w:ascii="Times New Roman" w:hAnsi="Times New Roman" w:cs="Times New Roman"/>
          <w:sz w:val="28"/>
          <w:szCs w:val="28"/>
        </w:rPr>
        <w:t>даты окончания срока рассмотрения Заявок</w:t>
      </w:r>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за исключением случаев, предусмотренных</w:t>
      </w:r>
      <w:r w:rsidR="006901AF" w:rsidRPr="00957BB2">
        <w:rPr>
          <w:rFonts w:ascii="Times New Roman" w:hAnsi="Times New Roman" w:cs="Times New Roman"/>
          <w:sz w:val="28"/>
          <w:szCs w:val="28"/>
        </w:rPr>
        <w:t xml:space="preserve"> разделом </w:t>
      </w:r>
      <w:r w:rsidR="006901AF" w:rsidRPr="00957BB2">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а) 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957BB2" w:rsidRDefault="009C25BF"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Pr="00957BB2">
        <w:rPr>
          <w:rFonts w:ascii="Times New Roman" w:hAnsi="Times New Roman" w:cs="Times New Roman"/>
          <w:sz w:val="28"/>
          <w:szCs w:val="28"/>
        </w:rPr>
        <w:t>, не допускается.</w:t>
      </w:r>
    </w:p>
    <w:p w:rsidR="00927235" w:rsidRPr="00957BB2" w:rsidRDefault="0038742A" w:rsidP="0092723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Орган по ведению РКП в течение 2 (двух) рабочих дней с даты принятия </w:t>
      </w:r>
      <w:r w:rsidR="00E47DDF" w:rsidRPr="00957BB2">
        <w:rPr>
          <w:rFonts w:ascii="Times New Roman" w:hAnsi="Times New Roman" w:cs="Times New Roman"/>
          <w:sz w:val="28"/>
          <w:szCs w:val="28"/>
        </w:rPr>
        <w:t>решения, указанн</w:t>
      </w:r>
      <w:r w:rsidR="004A2BA3" w:rsidRPr="00957BB2">
        <w:rPr>
          <w:rFonts w:ascii="Times New Roman" w:hAnsi="Times New Roman" w:cs="Times New Roman"/>
          <w:sz w:val="28"/>
          <w:szCs w:val="28"/>
        </w:rPr>
        <w:t>ого в подпункте «а» пункта 2.6.</w:t>
      </w:r>
      <w:r w:rsidR="00E47DDF" w:rsidRPr="00957BB2">
        <w:rPr>
          <w:rFonts w:ascii="Times New Roman" w:hAnsi="Times New Roman" w:cs="Times New Roman"/>
          <w:sz w:val="28"/>
          <w:szCs w:val="28"/>
        </w:rPr>
        <w:t xml:space="preserve">настоящего </w:t>
      </w:r>
      <w:r w:rsidR="000B03A3" w:rsidRPr="00957BB2">
        <w:rPr>
          <w:rFonts w:ascii="Times New Roman" w:hAnsi="Times New Roman" w:cs="Times New Roman"/>
          <w:sz w:val="28"/>
          <w:szCs w:val="28"/>
        </w:rPr>
        <w:t>раздела</w:t>
      </w:r>
      <w:r w:rsidR="00E47DDF" w:rsidRPr="00957BB2">
        <w:rPr>
          <w:rFonts w:ascii="Times New Roman" w:hAnsi="Times New Roman" w:cs="Times New Roman"/>
          <w:sz w:val="28"/>
          <w:szCs w:val="28"/>
        </w:rPr>
        <w:t>, включает информацию об Участнике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реестр квалифиц</w:t>
      </w:r>
      <w:r w:rsidR="00DA1D45" w:rsidRPr="00957BB2">
        <w:rPr>
          <w:rFonts w:ascii="Times New Roman" w:hAnsi="Times New Roman" w:cs="Times New Roman"/>
          <w:sz w:val="28"/>
          <w:szCs w:val="28"/>
        </w:rPr>
        <w:t>ированных подрядных организаций.</w:t>
      </w:r>
    </w:p>
    <w:p w:rsidR="005D5C6D" w:rsidRPr="00957BB2" w:rsidRDefault="005D5C6D" w:rsidP="005D5C6D">
      <w:pPr>
        <w:pStyle w:val="ConsPlusNormal"/>
        <w:ind w:left="709"/>
        <w:jc w:val="both"/>
        <w:rPr>
          <w:rFonts w:ascii="Times New Roman" w:hAnsi="Times New Roman" w:cs="Times New Roman"/>
          <w:sz w:val="28"/>
          <w:szCs w:val="28"/>
        </w:rPr>
      </w:pPr>
    </w:p>
    <w:p w:rsidR="00927235" w:rsidRPr="00957BB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Принятие решения о признании предварительного отбора несостоявшимся</w:t>
      </w: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9C25BF" w:rsidRPr="00957BB2">
        <w:rPr>
          <w:rFonts w:ascii="Times New Roman" w:hAnsi="Times New Roman" w:cs="Times New Roman"/>
          <w:sz w:val="28"/>
          <w:szCs w:val="28"/>
        </w:rPr>
        <w:t xml:space="preserve">если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w:t>
      </w:r>
      <w:r w:rsidR="009C25BF" w:rsidRPr="00957BB2">
        <w:rPr>
          <w:rFonts w:ascii="Times New Roman" w:hAnsi="Times New Roman" w:cs="Times New Roman"/>
          <w:sz w:val="28"/>
          <w:szCs w:val="28"/>
        </w:rPr>
        <w:lastRenderedPageBreak/>
        <w:t xml:space="preserve">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 xml:space="preserve">РКП </w:t>
      </w:r>
      <w:r w:rsidR="00201FB7" w:rsidRPr="00957BB2">
        <w:rPr>
          <w:rFonts w:ascii="Times New Roman" w:hAnsi="Times New Roman" w:cs="Times New Roman"/>
          <w:sz w:val="28"/>
          <w:szCs w:val="28"/>
        </w:rPr>
        <w:t xml:space="preserve">вправе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957BB2" w:rsidRDefault="00A34377" w:rsidP="00A34377">
      <w:pPr>
        <w:pStyle w:val="ConsPlusNormal"/>
        <w:ind w:left="1070"/>
        <w:jc w:val="both"/>
        <w:rPr>
          <w:rFonts w:ascii="Times New Roman" w:hAnsi="Times New Roman" w:cs="Times New Roman"/>
          <w:sz w:val="28"/>
          <w:szCs w:val="28"/>
        </w:rPr>
      </w:pPr>
    </w:p>
    <w:p w:rsidR="00234F4A" w:rsidRPr="00957BB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на официальном сайте </w:t>
      </w:r>
      <w:hyperlink r:id="rId15" w:history="1">
        <w:r w:rsidR="00AC18EF" w:rsidRPr="00957BB2">
          <w:rPr>
            <w:rStyle w:val="a5"/>
            <w:rFonts w:ascii="Times New Roman" w:hAnsi="Times New Roman" w:cs="Times New Roman"/>
            <w:bCs/>
            <w:color w:val="auto"/>
            <w:sz w:val="28"/>
            <w:szCs w:val="28"/>
          </w:rPr>
          <w:t>http://stjkh.admin-smolensk.ru</w:t>
        </w:r>
      </w:hyperlink>
      <w:r w:rsidR="00AC18EF" w:rsidRPr="00957BB2">
        <w:rPr>
          <w:rFonts w:ascii="Times New Roman" w:hAnsi="Times New Roman" w:cs="Times New Roman"/>
          <w:bCs/>
          <w:sz w:val="28"/>
          <w:szCs w:val="28"/>
        </w:rPr>
        <w:t>.</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Pr="00957BB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утвержденного Постановлением Правительства от 01.07.2016 № 615, </w:t>
      </w:r>
      <w:r w:rsidRPr="00957BB2">
        <w:rPr>
          <w:rFonts w:ascii="Times New Roman" w:hAnsi="Times New Roman" w:cs="Times New Roman"/>
          <w:sz w:val="28"/>
          <w:szCs w:val="28"/>
        </w:rPr>
        <w:t xml:space="preserve">которым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ПО ИЗВЕЩЕНИЮ № ___ ОТ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0406FF" w:rsidRPr="00957BB2">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2"/>
      </w:r>
      <w:r w:rsidRPr="00957BB2">
        <w:rPr>
          <w:rFonts w:ascii="Times New Roman" w:hAnsi="Times New Roman" w:cs="Times New Roman"/>
          <w:sz w:val="28"/>
          <w:szCs w:val="28"/>
        </w:rPr>
        <w:t>:</w:t>
      </w:r>
    </w:p>
    <w:p w:rsidR="000406FF"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957BB2">
        <w:rPr>
          <w:rFonts w:ascii="Times New Roman" w:hAnsi="Times New Roman" w:cs="Times New Roman"/>
          <w:sz w:val="24"/>
          <w:szCs w:val="24"/>
        </w:rPr>
        <w:t>(</w:t>
      </w:r>
      <w:r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Pr="00957BB2">
        <w:rPr>
          <w:rFonts w:ascii="Times New Roman" w:hAnsi="Times New Roman" w:cs="Times New Roman"/>
          <w:i/>
          <w:sz w:val="24"/>
          <w:szCs w:val="24"/>
          <w:u w:val="single"/>
        </w:rPr>
        <w:t>предпринимателя</w:t>
      </w:r>
      <w:r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Адрес юридического лица</w:t>
      </w:r>
      <w:r w:rsidRPr="00957BB2">
        <w:rPr>
          <w:rFonts w:ascii="Times New Roman" w:hAnsi="Times New Roman" w:cs="Times New Roman"/>
          <w:sz w:val="24"/>
          <w:szCs w:val="24"/>
        </w:rPr>
        <w:t xml:space="preserve"> (</w:t>
      </w:r>
      <w:r w:rsidRPr="00957BB2">
        <w:rPr>
          <w:rFonts w:ascii="Times New Roman" w:hAnsi="Times New Roman" w:cs="Times New Roman"/>
          <w:i/>
          <w:sz w:val="24"/>
          <w:szCs w:val="24"/>
          <w:u w:val="single"/>
        </w:rPr>
        <w:t>или адрес места жительства – для индивидуального предпринимателя</w:t>
      </w:r>
      <w:r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lastRenderedPageBreak/>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членов коллегиального исполнительного органа/ ИНН</w:t>
      </w:r>
      <w:r w:rsidRPr="00957BB2">
        <w:rPr>
          <w:rStyle w:val="af"/>
          <w:rFonts w:ascii="Times New Roman" w:hAnsi="Times New Roman" w:cs="Times New Roman"/>
          <w:sz w:val="28"/>
          <w:szCs w:val="28"/>
        </w:rPr>
        <w:footnoteReference w:id="4"/>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единоличного исполнительного органа/ ИНН</w:t>
      </w:r>
      <w:r w:rsidRPr="00957BB2">
        <w:rPr>
          <w:rStyle w:val="af"/>
          <w:rFonts w:ascii="Times New Roman" w:hAnsi="Times New Roman" w:cs="Times New Roman"/>
          <w:sz w:val="28"/>
          <w:szCs w:val="28"/>
        </w:rPr>
        <w:footnoteReference w:id="5"/>
      </w:r>
      <w:r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Настоящим</w:t>
      </w:r>
      <w:r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r w:rsidR="00AA29C1" w:rsidRPr="00957BB2">
        <w:rPr>
          <w:rFonts w:ascii="Times New Roman" w:hAnsi="Times New Roman" w:cs="Times New Roman"/>
          <w:i/>
          <w:sz w:val="24"/>
          <w:szCs w:val="24"/>
          <w:lang w:val="en-US"/>
        </w:rPr>
        <w:t>V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 п/п»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412CA">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36E" w:rsidRDefault="00FF236E" w:rsidP="009E4821">
      <w:pPr>
        <w:spacing w:after="0" w:line="240" w:lineRule="auto"/>
      </w:pPr>
      <w:r>
        <w:separator/>
      </w:r>
    </w:p>
  </w:endnote>
  <w:endnote w:type="continuationSeparator" w:id="1">
    <w:p w:rsidR="00FF236E" w:rsidRDefault="00FF236E"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36E" w:rsidRDefault="00FF236E" w:rsidP="009E4821">
      <w:pPr>
        <w:spacing w:after="0" w:line="240" w:lineRule="auto"/>
      </w:pPr>
      <w:r>
        <w:separator/>
      </w:r>
    </w:p>
  </w:footnote>
  <w:footnote w:type="continuationSeparator" w:id="1">
    <w:p w:rsidR="00FF236E" w:rsidRDefault="00FF236E" w:rsidP="009E4821">
      <w:pPr>
        <w:spacing w:after="0" w:line="240" w:lineRule="auto"/>
      </w:pPr>
      <w:r>
        <w:continuationSeparator/>
      </w:r>
    </w:p>
  </w:footnote>
  <w:footnote w:id="2">
    <w:p w:rsidR="008B12C6" w:rsidRPr="004F1A64" w:rsidRDefault="008B12C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B12C6" w:rsidRDefault="008B12C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B12C6" w:rsidRDefault="00F955AA">
        <w:pPr>
          <w:pStyle w:val="af8"/>
          <w:jc w:val="center"/>
        </w:pPr>
        <w:fldSimple w:instr="PAGE   \* MERGEFORMAT">
          <w:r w:rsidR="006817D2">
            <w:rPr>
              <w:noProof/>
            </w:rPr>
            <w:t>28</w:t>
          </w:r>
        </w:fldSimple>
      </w:p>
    </w:sdtContent>
  </w:sdt>
  <w:p w:rsidR="008B12C6" w:rsidRDefault="008B12C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3"/>
  </w:num>
  <w:num w:numId="5">
    <w:abstractNumId w:val="20"/>
  </w:num>
  <w:num w:numId="6">
    <w:abstractNumId w:val="45"/>
  </w:num>
  <w:num w:numId="7">
    <w:abstractNumId w:val="13"/>
  </w:num>
  <w:num w:numId="8">
    <w:abstractNumId w:val="22"/>
  </w:num>
  <w:num w:numId="9">
    <w:abstractNumId w:val="28"/>
  </w:num>
  <w:num w:numId="10">
    <w:abstractNumId w:val="39"/>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0"/>
  </w:num>
  <w:num w:numId="18">
    <w:abstractNumId w:val="42"/>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8"/>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4"/>
  </w:num>
  <w:num w:numId="41">
    <w:abstractNumId w:val="24"/>
  </w:num>
  <w:num w:numId="42">
    <w:abstractNumId w:val="23"/>
  </w:num>
  <w:num w:numId="43">
    <w:abstractNumId w:val="41"/>
  </w:num>
  <w:num w:numId="44">
    <w:abstractNumId w:val="33"/>
  </w:num>
  <w:num w:numId="45">
    <w:abstractNumId w:val="46"/>
  </w:num>
  <w:num w:numId="46">
    <w:abstractNumId w:val="3"/>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01ADC"/>
    <w:rsid w:val="000103E9"/>
    <w:rsid w:val="000111F1"/>
    <w:rsid w:val="00017271"/>
    <w:rsid w:val="0002038F"/>
    <w:rsid w:val="00031801"/>
    <w:rsid w:val="00034758"/>
    <w:rsid w:val="000406FF"/>
    <w:rsid w:val="000421C7"/>
    <w:rsid w:val="00047197"/>
    <w:rsid w:val="00047B21"/>
    <w:rsid w:val="000515EF"/>
    <w:rsid w:val="000558F3"/>
    <w:rsid w:val="00065F24"/>
    <w:rsid w:val="00083E6A"/>
    <w:rsid w:val="000A6649"/>
    <w:rsid w:val="000B03A3"/>
    <w:rsid w:val="000B555C"/>
    <w:rsid w:val="000B589E"/>
    <w:rsid w:val="000B6453"/>
    <w:rsid w:val="000B6D93"/>
    <w:rsid w:val="000C1235"/>
    <w:rsid w:val="000C40E0"/>
    <w:rsid w:val="000C7EC1"/>
    <w:rsid w:val="000D2DFB"/>
    <w:rsid w:val="000D5D4F"/>
    <w:rsid w:val="000E04AA"/>
    <w:rsid w:val="000E2493"/>
    <w:rsid w:val="000E661E"/>
    <w:rsid w:val="000F0465"/>
    <w:rsid w:val="000F4513"/>
    <w:rsid w:val="000F57A1"/>
    <w:rsid w:val="000F72C6"/>
    <w:rsid w:val="00102715"/>
    <w:rsid w:val="0010455B"/>
    <w:rsid w:val="00105C11"/>
    <w:rsid w:val="00115390"/>
    <w:rsid w:val="001215C5"/>
    <w:rsid w:val="00122CCC"/>
    <w:rsid w:val="001233E1"/>
    <w:rsid w:val="001265EA"/>
    <w:rsid w:val="00131B55"/>
    <w:rsid w:val="0013483D"/>
    <w:rsid w:val="00134B9D"/>
    <w:rsid w:val="00143404"/>
    <w:rsid w:val="0014438E"/>
    <w:rsid w:val="001472C9"/>
    <w:rsid w:val="0014739C"/>
    <w:rsid w:val="00147F12"/>
    <w:rsid w:val="001608A9"/>
    <w:rsid w:val="00166051"/>
    <w:rsid w:val="00170A14"/>
    <w:rsid w:val="0017121D"/>
    <w:rsid w:val="00174835"/>
    <w:rsid w:val="00180270"/>
    <w:rsid w:val="001837F8"/>
    <w:rsid w:val="001870EF"/>
    <w:rsid w:val="00197D1E"/>
    <w:rsid w:val="001A64DD"/>
    <w:rsid w:val="001B7599"/>
    <w:rsid w:val="001C2535"/>
    <w:rsid w:val="001C4604"/>
    <w:rsid w:val="001D2FCC"/>
    <w:rsid w:val="001D6B2A"/>
    <w:rsid w:val="001E0AA3"/>
    <w:rsid w:val="001E1FF0"/>
    <w:rsid w:val="001E2B29"/>
    <w:rsid w:val="001E7B83"/>
    <w:rsid w:val="001F1721"/>
    <w:rsid w:val="001F37F9"/>
    <w:rsid w:val="001F4302"/>
    <w:rsid w:val="00201FB7"/>
    <w:rsid w:val="00205236"/>
    <w:rsid w:val="0020544E"/>
    <w:rsid w:val="00207A81"/>
    <w:rsid w:val="0021048A"/>
    <w:rsid w:val="00210641"/>
    <w:rsid w:val="00211FAB"/>
    <w:rsid w:val="002166D3"/>
    <w:rsid w:val="00217D47"/>
    <w:rsid w:val="00220E14"/>
    <w:rsid w:val="002248E8"/>
    <w:rsid w:val="00230B18"/>
    <w:rsid w:val="00233FF8"/>
    <w:rsid w:val="002347E2"/>
    <w:rsid w:val="00234F4A"/>
    <w:rsid w:val="002412B3"/>
    <w:rsid w:val="002457D5"/>
    <w:rsid w:val="00250466"/>
    <w:rsid w:val="002545C0"/>
    <w:rsid w:val="0025653A"/>
    <w:rsid w:val="002570A2"/>
    <w:rsid w:val="00263165"/>
    <w:rsid w:val="002660D1"/>
    <w:rsid w:val="00266EEF"/>
    <w:rsid w:val="002745AD"/>
    <w:rsid w:val="0027479C"/>
    <w:rsid w:val="00276CB6"/>
    <w:rsid w:val="0028023A"/>
    <w:rsid w:val="0028092B"/>
    <w:rsid w:val="00283613"/>
    <w:rsid w:val="00283FAE"/>
    <w:rsid w:val="00286B86"/>
    <w:rsid w:val="00287B0F"/>
    <w:rsid w:val="00290990"/>
    <w:rsid w:val="00293014"/>
    <w:rsid w:val="00296FE2"/>
    <w:rsid w:val="002A4012"/>
    <w:rsid w:val="002A69C4"/>
    <w:rsid w:val="002B1D26"/>
    <w:rsid w:val="002C10CF"/>
    <w:rsid w:val="002C1888"/>
    <w:rsid w:val="002C6B86"/>
    <w:rsid w:val="002D1BC8"/>
    <w:rsid w:val="002D575F"/>
    <w:rsid w:val="002D68D8"/>
    <w:rsid w:val="002E521A"/>
    <w:rsid w:val="002F7C06"/>
    <w:rsid w:val="003012FC"/>
    <w:rsid w:val="00302095"/>
    <w:rsid w:val="00302872"/>
    <w:rsid w:val="0031327C"/>
    <w:rsid w:val="00322680"/>
    <w:rsid w:val="0032373C"/>
    <w:rsid w:val="00324806"/>
    <w:rsid w:val="003250E6"/>
    <w:rsid w:val="0033466D"/>
    <w:rsid w:val="00337D37"/>
    <w:rsid w:val="003421C3"/>
    <w:rsid w:val="00347468"/>
    <w:rsid w:val="00347876"/>
    <w:rsid w:val="003716B7"/>
    <w:rsid w:val="00373969"/>
    <w:rsid w:val="00375ED6"/>
    <w:rsid w:val="0037604D"/>
    <w:rsid w:val="00376A8B"/>
    <w:rsid w:val="003803CD"/>
    <w:rsid w:val="0038130A"/>
    <w:rsid w:val="00384362"/>
    <w:rsid w:val="0038742A"/>
    <w:rsid w:val="003966DC"/>
    <w:rsid w:val="003A053C"/>
    <w:rsid w:val="003A3661"/>
    <w:rsid w:val="003A4E26"/>
    <w:rsid w:val="003B3C8B"/>
    <w:rsid w:val="003B50EC"/>
    <w:rsid w:val="003B5528"/>
    <w:rsid w:val="003B5555"/>
    <w:rsid w:val="003C0353"/>
    <w:rsid w:val="003C53CE"/>
    <w:rsid w:val="003C5833"/>
    <w:rsid w:val="003C67F8"/>
    <w:rsid w:val="003C68B0"/>
    <w:rsid w:val="003D46D0"/>
    <w:rsid w:val="003D6C67"/>
    <w:rsid w:val="003D6EFB"/>
    <w:rsid w:val="003E00F7"/>
    <w:rsid w:val="003E4B4C"/>
    <w:rsid w:val="003F301E"/>
    <w:rsid w:val="003F7140"/>
    <w:rsid w:val="00400D37"/>
    <w:rsid w:val="004027F9"/>
    <w:rsid w:val="00404512"/>
    <w:rsid w:val="00411B72"/>
    <w:rsid w:val="00411EA3"/>
    <w:rsid w:val="00412677"/>
    <w:rsid w:val="00413A98"/>
    <w:rsid w:val="00420E38"/>
    <w:rsid w:val="00421197"/>
    <w:rsid w:val="00421359"/>
    <w:rsid w:val="00423B22"/>
    <w:rsid w:val="00426364"/>
    <w:rsid w:val="004326A1"/>
    <w:rsid w:val="00432860"/>
    <w:rsid w:val="00432EFB"/>
    <w:rsid w:val="00434B65"/>
    <w:rsid w:val="004376CD"/>
    <w:rsid w:val="00442691"/>
    <w:rsid w:val="004461D2"/>
    <w:rsid w:val="00447A6C"/>
    <w:rsid w:val="00447DD5"/>
    <w:rsid w:val="00456D91"/>
    <w:rsid w:val="004606BF"/>
    <w:rsid w:val="00460EAE"/>
    <w:rsid w:val="00462CC1"/>
    <w:rsid w:val="00463C67"/>
    <w:rsid w:val="00466071"/>
    <w:rsid w:val="00471E7A"/>
    <w:rsid w:val="00471F85"/>
    <w:rsid w:val="00472EAA"/>
    <w:rsid w:val="00480630"/>
    <w:rsid w:val="00483345"/>
    <w:rsid w:val="00483C60"/>
    <w:rsid w:val="00487E25"/>
    <w:rsid w:val="004907C1"/>
    <w:rsid w:val="004918CB"/>
    <w:rsid w:val="00493503"/>
    <w:rsid w:val="00493D24"/>
    <w:rsid w:val="004A2BA3"/>
    <w:rsid w:val="004A4A46"/>
    <w:rsid w:val="004B4ED0"/>
    <w:rsid w:val="004C4DDC"/>
    <w:rsid w:val="004C66AC"/>
    <w:rsid w:val="004C74A1"/>
    <w:rsid w:val="004D0BA2"/>
    <w:rsid w:val="004E5A7F"/>
    <w:rsid w:val="004E784E"/>
    <w:rsid w:val="004E7C81"/>
    <w:rsid w:val="004F1A64"/>
    <w:rsid w:val="004F3A78"/>
    <w:rsid w:val="005006C7"/>
    <w:rsid w:val="0050341B"/>
    <w:rsid w:val="0050714A"/>
    <w:rsid w:val="00507FBD"/>
    <w:rsid w:val="00510680"/>
    <w:rsid w:val="005163C5"/>
    <w:rsid w:val="00520E23"/>
    <w:rsid w:val="00523365"/>
    <w:rsid w:val="005242D8"/>
    <w:rsid w:val="00525527"/>
    <w:rsid w:val="00530D85"/>
    <w:rsid w:val="0053148C"/>
    <w:rsid w:val="0053491F"/>
    <w:rsid w:val="00536AD9"/>
    <w:rsid w:val="00536F47"/>
    <w:rsid w:val="00541CA4"/>
    <w:rsid w:val="005450E2"/>
    <w:rsid w:val="005467A3"/>
    <w:rsid w:val="00550B9B"/>
    <w:rsid w:val="005520A8"/>
    <w:rsid w:val="00555F5F"/>
    <w:rsid w:val="005574C4"/>
    <w:rsid w:val="005615A7"/>
    <w:rsid w:val="0056384B"/>
    <w:rsid w:val="00565956"/>
    <w:rsid w:val="00571664"/>
    <w:rsid w:val="00571BCF"/>
    <w:rsid w:val="00571FC2"/>
    <w:rsid w:val="00596D07"/>
    <w:rsid w:val="00597B40"/>
    <w:rsid w:val="005A0DBA"/>
    <w:rsid w:val="005A31BB"/>
    <w:rsid w:val="005B55F7"/>
    <w:rsid w:val="005C77E4"/>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17D2"/>
    <w:rsid w:val="00682DB8"/>
    <w:rsid w:val="006830E8"/>
    <w:rsid w:val="00683263"/>
    <w:rsid w:val="006901AF"/>
    <w:rsid w:val="006958B0"/>
    <w:rsid w:val="00697459"/>
    <w:rsid w:val="006A5BE3"/>
    <w:rsid w:val="006B47CC"/>
    <w:rsid w:val="006B6ED6"/>
    <w:rsid w:val="006C079C"/>
    <w:rsid w:val="006C1B30"/>
    <w:rsid w:val="006D31BE"/>
    <w:rsid w:val="006D62AD"/>
    <w:rsid w:val="006D7F50"/>
    <w:rsid w:val="006F5917"/>
    <w:rsid w:val="006F7951"/>
    <w:rsid w:val="00701604"/>
    <w:rsid w:val="00705C25"/>
    <w:rsid w:val="007064C3"/>
    <w:rsid w:val="007070DC"/>
    <w:rsid w:val="00710E6D"/>
    <w:rsid w:val="00717F59"/>
    <w:rsid w:val="00723C4F"/>
    <w:rsid w:val="00723E3D"/>
    <w:rsid w:val="00733D3F"/>
    <w:rsid w:val="007368E4"/>
    <w:rsid w:val="007412CA"/>
    <w:rsid w:val="0075099D"/>
    <w:rsid w:val="0075224E"/>
    <w:rsid w:val="007524DF"/>
    <w:rsid w:val="0075731B"/>
    <w:rsid w:val="007711E4"/>
    <w:rsid w:val="00773C1A"/>
    <w:rsid w:val="0077518C"/>
    <w:rsid w:val="0079132B"/>
    <w:rsid w:val="00792856"/>
    <w:rsid w:val="00796484"/>
    <w:rsid w:val="0079777C"/>
    <w:rsid w:val="007A2465"/>
    <w:rsid w:val="007B0106"/>
    <w:rsid w:val="007B19AF"/>
    <w:rsid w:val="007B3209"/>
    <w:rsid w:val="007B6AEC"/>
    <w:rsid w:val="007C0E2A"/>
    <w:rsid w:val="007C2C8D"/>
    <w:rsid w:val="007C7506"/>
    <w:rsid w:val="007D0144"/>
    <w:rsid w:val="007E0904"/>
    <w:rsid w:val="007E189B"/>
    <w:rsid w:val="007E439A"/>
    <w:rsid w:val="007F16A8"/>
    <w:rsid w:val="007F4DD9"/>
    <w:rsid w:val="00800FC7"/>
    <w:rsid w:val="00811E3B"/>
    <w:rsid w:val="00814707"/>
    <w:rsid w:val="00822C56"/>
    <w:rsid w:val="008240B2"/>
    <w:rsid w:val="00826049"/>
    <w:rsid w:val="008261C8"/>
    <w:rsid w:val="00830E6B"/>
    <w:rsid w:val="00833BA7"/>
    <w:rsid w:val="00834951"/>
    <w:rsid w:val="00844F6C"/>
    <w:rsid w:val="00846987"/>
    <w:rsid w:val="00852AE2"/>
    <w:rsid w:val="00855F01"/>
    <w:rsid w:val="00857C24"/>
    <w:rsid w:val="008709A1"/>
    <w:rsid w:val="00894CC4"/>
    <w:rsid w:val="00896A49"/>
    <w:rsid w:val="00897901"/>
    <w:rsid w:val="008B12C6"/>
    <w:rsid w:val="008B40A9"/>
    <w:rsid w:val="008B64D1"/>
    <w:rsid w:val="008B729A"/>
    <w:rsid w:val="008C7373"/>
    <w:rsid w:val="008D1543"/>
    <w:rsid w:val="008D28BC"/>
    <w:rsid w:val="008D32AE"/>
    <w:rsid w:val="008D498B"/>
    <w:rsid w:val="008F71A5"/>
    <w:rsid w:val="00900AEA"/>
    <w:rsid w:val="00905414"/>
    <w:rsid w:val="00906667"/>
    <w:rsid w:val="00911452"/>
    <w:rsid w:val="009136B0"/>
    <w:rsid w:val="00915101"/>
    <w:rsid w:val="009155AE"/>
    <w:rsid w:val="00915A09"/>
    <w:rsid w:val="00921E65"/>
    <w:rsid w:val="00922F89"/>
    <w:rsid w:val="00927235"/>
    <w:rsid w:val="009300D6"/>
    <w:rsid w:val="0094287E"/>
    <w:rsid w:val="0094551D"/>
    <w:rsid w:val="00950FA7"/>
    <w:rsid w:val="00957BB2"/>
    <w:rsid w:val="00966A70"/>
    <w:rsid w:val="00970CF0"/>
    <w:rsid w:val="00971956"/>
    <w:rsid w:val="009747E7"/>
    <w:rsid w:val="009767DD"/>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5154"/>
    <w:rsid w:val="00A07B63"/>
    <w:rsid w:val="00A10908"/>
    <w:rsid w:val="00A1118F"/>
    <w:rsid w:val="00A11631"/>
    <w:rsid w:val="00A11910"/>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94BD0"/>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C6A"/>
    <w:rsid w:val="00AF6F59"/>
    <w:rsid w:val="00B11858"/>
    <w:rsid w:val="00B13478"/>
    <w:rsid w:val="00B32771"/>
    <w:rsid w:val="00B336B8"/>
    <w:rsid w:val="00B403E2"/>
    <w:rsid w:val="00B56DA7"/>
    <w:rsid w:val="00B60540"/>
    <w:rsid w:val="00B60A15"/>
    <w:rsid w:val="00B712A0"/>
    <w:rsid w:val="00B819FF"/>
    <w:rsid w:val="00B81D91"/>
    <w:rsid w:val="00BA4276"/>
    <w:rsid w:val="00BA7E82"/>
    <w:rsid w:val="00BB3504"/>
    <w:rsid w:val="00BB3C7A"/>
    <w:rsid w:val="00BB5131"/>
    <w:rsid w:val="00BB7538"/>
    <w:rsid w:val="00BC039E"/>
    <w:rsid w:val="00BC27D1"/>
    <w:rsid w:val="00BC7661"/>
    <w:rsid w:val="00BD0BC8"/>
    <w:rsid w:val="00BD2FA1"/>
    <w:rsid w:val="00BD3BAE"/>
    <w:rsid w:val="00BD58E8"/>
    <w:rsid w:val="00BF0EAC"/>
    <w:rsid w:val="00BF1F29"/>
    <w:rsid w:val="00BF4269"/>
    <w:rsid w:val="00BF7E27"/>
    <w:rsid w:val="00C04B31"/>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36CB"/>
    <w:rsid w:val="00CA64B6"/>
    <w:rsid w:val="00CB1593"/>
    <w:rsid w:val="00CB2A0F"/>
    <w:rsid w:val="00CB4325"/>
    <w:rsid w:val="00CC0C97"/>
    <w:rsid w:val="00CC6376"/>
    <w:rsid w:val="00CC79C2"/>
    <w:rsid w:val="00CD0A0D"/>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34637"/>
    <w:rsid w:val="00D36F54"/>
    <w:rsid w:val="00D4023D"/>
    <w:rsid w:val="00D41BAF"/>
    <w:rsid w:val="00D44756"/>
    <w:rsid w:val="00D47613"/>
    <w:rsid w:val="00D53B76"/>
    <w:rsid w:val="00D66EA6"/>
    <w:rsid w:val="00D71B9E"/>
    <w:rsid w:val="00D840F9"/>
    <w:rsid w:val="00D84A1A"/>
    <w:rsid w:val="00D90A50"/>
    <w:rsid w:val="00D9343A"/>
    <w:rsid w:val="00D96A1F"/>
    <w:rsid w:val="00D97C38"/>
    <w:rsid w:val="00DA1D45"/>
    <w:rsid w:val="00DA3F23"/>
    <w:rsid w:val="00DB442E"/>
    <w:rsid w:val="00DB5CE1"/>
    <w:rsid w:val="00DB62E6"/>
    <w:rsid w:val="00DD24E1"/>
    <w:rsid w:val="00DD4F78"/>
    <w:rsid w:val="00DE0025"/>
    <w:rsid w:val="00DE11E5"/>
    <w:rsid w:val="00DE2FD2"/>
    <w:rsid w:val="00DF0140"/>
    <w:rsid w:val="00E142DC"/>
    <w:rsid w:val="00E211B1"/>
    <w:rsid w:val="00E214A5"/>
    <w:rsid w:val="00E219A8"/>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87BFB"/>
    <w:rsid w:val="00E94A4F"/>
    <w:rsid w:val="00E9771E"/>
    <w:rsid w:val="00EA1223"/>
    <w:rsid w:val="00EA4698"/>
    <w:rsid w:val="00EB20EF"/>
    <w:rsid w:val="00EB7A9A"/>
    <w:rsid w:val="00EC0577"/>
    <w:rsid w:val="00EC57A9"/>
    <w:rsid w:val="00EC6524"/>
    <w:rsid w:val="00ED47F3"/>
    <w:rsid w:val="00ED5368"/>
    <w:rsid w:val="00ED5CC0"/>
    <w:rsid w:val="00ED6DAC"/>
    <w:rsid w:val="00EE1A75"/>
    <w:rsid w:val="00EE1E26"/>
    <w:rsid w:val="00EE42A8"/>
    <w:rsid w:val="00EE4B09"/>
    <w:rsid w:val="00EE6B8F"/>
    <w:rsid w:val="00EF0697"/>
    <w:rsid w:val="00EF31E1"/>
    <w:rsid w:val="00EF3B3E"/>
    <w:rsid w:val="00EF78B4"/>
    <w:rsid w:val="00F10062"/>
    <w:rsid w:val="00F1123B"/>
    <w:rsid w:val="00F146BF"/>
    <w:rsid w:val="00F2121C"/>
    <w:rsid w:val="00F302D1"/>
    <w:rsid w:val="00F4707F"/>
    <w:rsid w:val="00F55D87"/>
    <w:rsid w:val="00F561B1"/>
    <w:rsid w:val="00F5660B"/>
    <w:rsid w:val="00F6275E"/>
    <w:rsid w:val="00F62B79"/>
    <w:rsid w:val="00F64B45"/>
    <w:rsid w:val="00F725BC"/>
    <w:rsid w:val="00F84753"/>
    <w:rsid w:val="00F955AA"/>
    <w:rsid w:val="00F976AE"/>
    <w:rsid w:val="00FA037B"/>
    <w:rsid w:val="00FA1156"/>
    <w:rsid w:val="00FB3957"/>
    <w:rsid w:val="00FB4DEC"/>
    <w:rsid w:val="00FB55FB"/>
    <w:rsid w:val="00FC5A61"/>
    <w:rsid w:val="00FD0661"/>
    <w:rsid w:val="00FD2BE3"/>
    <w:rsid w:val="00FE0A89"/>
    <w:rsid w:val="00FE2CDB"/>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D514-C697-4F21-AA08-3F48A5BE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10362</Words>
  <Characters>59065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2018-10-23T09:23:00Z</cp:lastPrinted>
  <dcterms:created xsi:type="dcterms:W3CDTF">2020-09-11T08:46:00Z</dcterms:created>
  <dcterms:modified xsi:type="dcterms:W3CDTF">2020-09-11T08:46:00Z</dcterms:modified>
</cp:coreProperties>
</file>