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3CF" w:rsidRPr="001733CF" w:rsidRDefault="001733CF" w:rsidP="001733CF">
      <w:pPr>
        <w:spacing w:after="0" w:line="240" w:lineRule="auto"/>
        <w:jc w:val="center"/>
        <w:rPr>
          <w:rFonts w:ascii="Arial" w:eastAsia="Times New Roman" w:hAnsi="Arial" w:cs="Arial"/>
          <w:color w:val="353535"/>
          <w:sz w:val="21"/>
          <w:szCs w:val="21"/>
          <w:lang w:eastAsia="ru-RU"/>
        </w:rPr>
      </w:pPr>
      <w:r w:rsidRPr="001733CF">
        <w:rPr>
          <w:rFonts w:ascii="Arial" w:eastAsia="Times New Roman" w:hAnsi="Arial" w:cs="Arial"/>
          <w:b/>
          <w:bCs/>
          <w:color w:val="353535"/>
          <w:sz w:val="21"/>
          <w:szCs w:val="21"/>
          <w:lang w:eastAsia="ru-RU"/>
        </w:rPr>
        <w:t>АНАЛИТИЧЕСКАЯ СПРАВКА о работе Департамента Смоленской области по строительству и ЖКХ с обращениями граждан за I квартал 2019 года</w:t>
      </w:r>
    </w:p>
    <w:p w:rsidR="001733CF" w:rsidRPr="001733CF" w:rsidRDefault="001733CF" w:rsidP="001733CF">
      <w:pPr>
        <w:spacing w:after="0" w:line="240" w:lineRule="auto"/>
        <w:jc w:val="center"/>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 </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В I квартале 2019 года в Департамент Смоленской области по строительству и ЖКХ поступило 176 письменных обращений граждан, а также обращений граждан в форме электронного документа, что на 30% меньше, чем за аналогичный период 2018 года (далее - АППГ).</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proofErr w:type="gramStart"/>
      <w:r w:rsidRPr="001733CF">
        <w:rPr>
          <w:rFonts w:ascii="Arial" w:eastAsia="Times New Roman" w:hAnsi="Arial" w:cs="Arial"/>
          <w:color w:val="353535"/>
          <w:sz w:val="21"/>
          <w:szCs w:val="21"/>
          <w:lang w:eastAsia="ru-RU"/>
        </w:rPr>
        <w:t>Из них поступило заявлений – 45 (25,6%) от общего количества обращений, поступивших в письменной форме и в форме электронного документа), жалоб – 122 (9,3%), предложений – 9 (5,1%).</w:t>
      </w:r>
      <w:proofErr w:type="gramEnd"/>
    </w:p>
    <w:p w:rsidR="001733CF" w:rsidRPr="001733CF" w:rsidRDefault="001733CF" w:rsidP="001733CF">
      <w:pPr>
        <w:spacing w:after="0" w:line="240" w:lineRule="auto"/>
        <w:jc w:val="both"/>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По состоянию на 31 марта 2019 года рассмотрено 168 обращений.</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Из них – по результатам рассмотрения:</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2 – поддержано;</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3 – меры приняты;</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163 - даны разъяснения;</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0 – не поддержано;</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 </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Также поступило, зарегистрировано и направлено на исполнение в пределах компетенции в органы исполнительной власти, исполнительно – распорядительные органы местного самоуправления муниципальных районов и городских округов Смоленской области и иные органы 8 запросов.</w:t>
      </w:r>
    </w:p>
    <w:p w:rsidR="001733CF" w:rsidRPr="001733CF" w:rsidRDefault="001733CF" w:rsidP="001733CF">
      <w:pPr>
        <w:spacing w:after="0" w:line="240" w:lineRule="auto"/>
        <w:jc w:val="center"/>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Январь</w:t>
      </w:r>
    </w:p>
    <w:tbl>
      <w:tblPr>
        <w:tblW w:w="959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7"/>
        <w:gridCol w:w="1984"/>
        <w:gridCol w:w="1701"/>
        <w:gridCol w:w="1559"/>
        <w:gridCol w:w="2104"/>
      </w:tblGrid>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Наименование отдела</w:t>
            </w:r>
          </w:p>
        </w:tc>
        <w:tc>
          <w:tcPr>
            <w:tcW w:w="1984"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Кол-во обращений за январь (из них рассмотрено/ перенаправлено)</w:t>
            </w:r>
          </w:p>
        </w:tc>
        <w:tc>
          <w:tcPr>
            <w:tcW w:w="1701"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Результаты рассмотрения: (</w:t>
            </w:r>
            <w:proofErr w:type="gramStart"/>
            <w:r w:rsidRPr="001733CF">
              <w:rPr>
                <w:rFonts w:ascii="Times New Roman" w:eastAsia="Times New Roman" w:hAnsi="Times New Roman" w:cs="Times New Roman"/>
                <w:sz w:val="24"/>
                <w:szCs w:val="24"/>
                <w:lang w:eastAsia="ru-RU"/>
              </w:rPr>
              <w:t>поддержано</w:t>
            </w:r>
            <w:proofErr w:type="gramEnd"/>
            <w:r w:rsidRPr="001733CF">
              <w:rPr>
                <w:rFonts w:ascii="Times New Roman" w:eastAsia="Times New Roman" w:hAnsi="Times New Roman" w:cs="Times New Roman"/>
                <w:sz w:val="24"/>
                <w:szCs w:val="24"/>
                <w:lang w:eastAsia="ru-RU"/>
              </w:rPr>
              <w:t>/приняты меры/даны разъяснения/не поддержано)</w:t>
            </w:r>
          </w:p>
        </w:tc>
        <w:tc>
          <w:tcPr>
            <w:tcW w:w="1559"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В форме:  письменное обращение/электронное</w:t>
            </w:r>
          </w:p>
        </w:tc>
        <w:tc>
          <w:tcPr>
            <w:tcW w:w="2104"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Вид обращения  (предложение/заявление/жалоба)</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правовой и организационной работы</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7 (7/0)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0/0/7/0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3/4</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0/7/0</w:t>
            </w:r>
          </w:p>
        </w:tc>
      </w:tr>
      <w:tr w:rsidR="001733CF" w:rsidRPr="001733CF" w:rsidTr="001733CF">
        <w:trPr>
          <w:trHeight w:val="390"/>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развития строительной отрасли</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 (0/0)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0/0/0/0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0/0/0</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модернизации и развития коммунальной инфраструктуры</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11 (11/0)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0/0/11/0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10/1</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0/0/11</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газификации</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1 (1/0)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0/1/0/0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1/0</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0/1/0</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ценообразования и сметного нормирования</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 (0/0)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0/0/0/0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0/0/0</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lastRenderedPageBreak/>
              <w:t>Отдел градостроительства</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1(1/0)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0/0/1/0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0/1</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0/1/0</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 xml:space="preserve">Сектор </w:t>
            </w:r>
            <w:proofErr w:type="gramStart"/>
            <w:r w:rsidRPr="001733CF">
              <w:rPr>
                <w:rFonts w:ascii="Times New Roman" w:eastAsia="Times New Roman" w:hAnsi="Times New Roman" w:cs="Times New Roman"/>
                <w:sz w:val="24"/>
                <w:szCs w:val="24"/>
                <w:lang w:eastAsia="ru-RU"/>
              </w:rPr>
              <w:t>контроля за</w:t>
            </w:r>
            <w:proofErr w:type="gramEnd"/>
            <w:r w:rsidRPr="001733CF">
              <w:rPr>
                <w:rFonts w:ascii="Times New Roman" w:eastAsia="Times New Roman" w:hAnsi="Times New Roman" w:cs="Times New Roman"/>
                <w:sz w:val="24"/>
                <w:szCs w:val="24"/>
                <w:lang w:eastAsia="ru-RU"/>
              </w:rPr>
              <w:t xml:space="preserve"> соблюдением законодательства о градостроительной деятельности</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2(2/0)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0/0/2/0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2/0</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0/2/0</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Финансово-экономический отдел</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5(5/0)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0/0/5/0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2/3</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0/0/5</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эксплуатации объектов тепло-, водоснабжения и водоотведения</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3 (2/1)</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0/0/2/0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2/1</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0/0/2</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Всего</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30 (29/1)</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0/1/28/0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20/10</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0/11/18</w:t>
            </w:r>
          </w:p>
        </w:tc>
      </w:tr>
    </w:tbl>
    <w:p w:rsidR="001733CF" w:rsidRPr="001733CF" w:rsidRDefault="001733CF" w:rsidP="001733CF">
      <w:pPr>
        <w:spacing w:after="0" w:line="240" w:lineRule="auto"/>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 </w:t>
      </w:r>
    </w:p>
    <w:p w:rsidR="001733CF" w:rsidRPr="001733CF" w:rsidRDefault="001733CF" w:rsidP="001733CF">
      <w:pPr>
        <w:spacing w:after="0" w:line="240" w:lineRule="auto"/>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 </w:t>
      </w:r>
    </w:p>
    <w:p w:rsidR="001733CF" w:rsidRPr="001733CF" w:rsidRDefault="001733CF" w:rsidP="001733CF">
      <w:pPr>
        <w:spacing w:after="0" w:line="240" w:lineRule="auto"/>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 </w:t>
      </w:r>
    </w:p>
    <w:p w:rsidR="001733CF" w:rsidRPr="001733CF" w:rsidRDefault="001733CF" w:rsidP="001733CF">
      <w:pPr>
        <w:spacing w:after="0" w:line="240" w:lineRule="auto"/>
        <w:jc w:val="center"/>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Февраль</w:t>
      </w:r>
    </w:p>
    <w:tbl>
      <w:tblPr>
        <w:tblW w:w="959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7"/>
        <w:gridCol w:w="1984"/>
        <w:gridCol w:w="1701"/>
        <w:gridCol w:w="1559"/>
        <w:gridCol w:w="2104"/>
      </w:tblGrid>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Наименование отдела</w:t>
            </w:r>
          </w:p>
        </w:tc>
        <w:tc>
          <w:tcPr>
            <w:tcW w:w="1984"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Кол-во обращений за январь (из них рассмотрено/ перенаправлено)</w:t>
            </w:r>
          </w:p>
        </w:tc>
        <w:tc>
          <w:tcPr>
            <w:tcW w:w="1701"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Результаты рассмотрения: (</w:t>
            </w:r>
            <w:proofErr w:type="gramStart"/>
            <w:r w:rsidRPr="001733CF">
              <w:rPr>
                <w:rFonts w:ascii="Times New Roman" w:eastAsia="Times New Roman" w:hAnsi="Times New Roman" w:cs="Times New Roman"/>
                <w:sz w:val="24"/>
                <w:szCs w:val="24"/>
                <w:lang w:eastAsia="ru-RU"/>
              </w:rPr>
              <w:t>поддержано</w:t>
            </w:r>
            <w:proofErr w:type="gramEnd"/>
            <w:r w:rsidRPr="001733CF">
              <w:rPr>
                <w:rFonts w:ascii="Times New Roman" w:eastAsia="Times New Roman" w:hAnsi="Times New Roman" w:cs="Times New Roman"/>
                <w:sz w:val="24"/>
                <w:szCs w:val="24"/>
                <w:lang w:eastAsia="ru-RU"/>
              </w:rPr>
              <w:t>/приняты меры/даны разъяснения/не поддержано)</w:t>
            </w:r>
          </w:p>
        </w:tc>
        <w:tc>
          <w:tcPr>
            <w:tcW w:w="1559"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В форме:  письменное обращение/электронное</w:t>
            </w:r>
          </w:p>
        </w:tc>
        <w:tc>
          <w:tcPr>
            <w:tcW w:w="2104"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Вид обращения  (предложение/заявление/жалоба)</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правовой и организационной работы</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12 (10/2)</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0/0/10/0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5/7</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0/10/2</w:t>
            </w:r>
          </w:p>
        </w:tc>
      </w:tr>
      <w:tr w:rsidR="001733CF" w:rsidRPr="001733CF" w:rsidTr="001733CF">
        <w:trPr>
          <w:trHeight w:val="390"/>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развития строительной отрасли</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8 (5/3)</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0/0/8/0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4/4</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3/3/2</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модернизации и развития коммунальной инфраструктуры</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20 (20/0)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0/0/20/0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13/7</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0/0/20</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lastRenderedPageBreak/>
              <w:t>Отдел газификации</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8 (8/0)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0/1/7/0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2/6</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0/1/7</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ценообразования и сметного нормирования</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 (0/0)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0/0/0/0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0/0/0</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градостроительства</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2(2/0)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0/0/2/0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0/2</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0/0/2</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 xml:space="preserve">Сектор </w:t>
            </w:r>
            <w:proofErr w:type="gramStart"/>
            <w:r w:rsidRPr="001733CF">
              <w:rPr>
                <w:rFonts w:ascii="Times New Roman" w:eastAsia="Times New Roman" w:hAnsi="Times New Roman" w:cs="Times New Roman"/>
                <w:sz w:val="24"/>
                <w:szCs w:val="24"/>
                <w:lang w:eastAsia="ru-RU"/>
              </w:rPr>
              <w:t>контроля за</w:t>
            </w:r>
            <w:proofErr w:type="gramEnd"/>
            <w:r w:rsidRPr="001733CF">
              <w:rPr>
                <w:rFonts w:ascii="Times New Roman" w:eastAsia="Times New Roman" w:hAnsi="Times New Roman" w:cs="Times New Roman"/>
                <w:sz w:val="24"/>
                <w:szCs w:val="24"/>
                <w:lang w:eastAsia="ru-RU"/>
              </w:rPr>
              <w:t xml:space="preserve"> соблюдением законодательства о градостроительной деятельности</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11(11/0)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0/0/11/0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10/1</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0/9/2</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Финансово-экономический отдел</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22(20/2)</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0/0/20/0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14/8</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0/0/20</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эксплуатации объектов тепло-, водоснабжения и водоотведения</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1(1/0)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0/0/1/0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0/1</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0/0/1</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Всего</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84 (80/4)</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0/1/79/0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48/36</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3/23/58</w:t>
            </w:r>
          </w:p>
        </w:tc>
      </w:tr>
    </w:tbl>
    <w:p w:rsidR="001733CF" w:rsidRPr="001733CF" w:rsidRDefault="001733CF" w:rsidP="001733CF">
      <w:pPr>
        <w:spacing w:after="0" w:line="240" w:lineRule="auto"/>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 </w:t>
      </w:r>
    </w:p>
    <w:p w:rsidR="001733CF" w:rsidRPr="001733CF" w:rsidRDefault="001733CF" w:rsidP="001733CF">
      <w:pPr>
        <w:spacing w:after="0" w:line="240" w:lineRule="auto"/>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 </w:t>
      </w:r>
    </w:p>
    <w:p w:rsidR="001733CF" w:rsidRPr="001733CF" w:rsidRDefault="001733CF" w:rsidP="001733CF">
      <w:pPr>
        <w:spacing w:after="0" w:line="240" w:lineRule="auto"/>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 </w:t>
      </w:r>
    </w:p>
    <w:p w:rsidR="001733CF" w:rsidRPr="001733CF" w:rsidRDefault="001733CF" w:rsidP="001733CF">
      <w:pPr>
        <w:spacing w:after="0" w:line="240" w:lineRule="auto"/>
        <w:jc w:val="center"/>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Март</w:t>
      </w:r>
    </w:p>
    <w:tbl>
      <w:tblPr>
        <w:tblW w:w="959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7"/>
        <w:gridCol w:w="1984"/>
        <w:gridCol w:w="1701"/>
        <w:gridCol w:w="1559"/>
        <w:gridCol w:w="2104"/>
      </w:tblGrid>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Наименование отдела</w:t>
            </w:r>
          </w:p>
        </w:tc>
        <w:tc>
          <w:tcPr>
            <w:tcW w:w="1984"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Кол-во обращений за январь (из них рассмотрено/ перенаправлено)</w:t>
            </w:r>
          </w:p>
        </w:tc>
        <w:tc>
          <w:tcPr>
            <w:tcW w:w="1701"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Результаты рассмотрения: (</w:t>
            </w:r>
            <w:proofErr w:type="gramStart"/>
            <w:r w:rsidRPr="001733CF">
              <w:rPr>
                <w:rFonts w:ascii="Times New Roman" w:eastAsia="Times New Roman" w:hAnsi="Times New Roman" w:cs="Times New Roman"/>
                <w:sz w:val="24"/>
                <w:szCs w:val="24"/>
                <w:lang w:eastAsia="ru-RU"/>
              </w:rPr>
              <w:t>поддержано</w:t>
            </w:r>
            <w:proofErr w:type="gramEnd"/>
            <w:r w:rsidRPr="001733CF">
              <w:rPr>
                <w:rFonts w:ascii="Times New Roman" w:eastAsia="Times New Roman" w:hAnsi="Times New Roman" w:cs="Times New Roman"/>
                <w:sz w:val="24"/>
                <w:szCs w:val="24"/>
                <w:lang w:eastAsia="ru-RU"/>
              </w:rPr>
              <w:t>/приняты меры/даны разъяснения/не поддержано)</w:t>
            </w:r>
          </w:p>
        </w:tc>
        <w:tc>
          <w:tcPr>
            <w:tcW w:w="1559"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В форме:  письменное обращение/электронное</w:t>
            </w:r>
          </w:p>
        </w:tc>
        <w:tc>
          <w:tcPr>
            <w:tcW w:w="2104"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Вид обращения  (предложение/заявление/жалоба)</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правовой и организационной работы</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9 (9/0)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0/0/9/0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7/2</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0/9/0</w:t>
            </w:r>
          </w:p>
        </w:tc>
      </w:tr>
      <w:tr w:rsidR="001733CF" w:rsidRPr="001733CF" w:rsidTr="001733CF">
        <w:trPr>
          <w:trHeight w:val="390"/>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 xml:space="preserve">Отдел развития строительной </w:t>
            </w:r>
            <w:r w:rsidRPr="001733CF">
              <w:rPr>
                <w:rFonts w:ascii="Times New Roman" w:eastAsia="Times New Roman" w:hAnsi="Times New Roman" w:cs="Times New Roman"/>
                <w:sz w:val="24"/>
                <w:szCs w:val="24"/>
                <w:lang w:eastAsia="ru-RU"/>
              </w:rPr>
              <w:lastRenderedPageBreak/>
              <w:t>отрасли</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lastRenderedPageBreak/>
              <w:t>4 (4/0)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0/0/4/0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0/4</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4/0/0</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lastRenderedPageBreak/>
              <w:t>Отдел модернизации и развития коммунальной инфраструктуры</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20 (20/0)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0/0/20/0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17/3</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0/0/20</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газификации</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12 (12/0)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0/0/12/0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10/2</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0/0/12</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ценообразования и сметного нормирования</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1(1/0)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0/0/1/0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0/1</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0/0/1</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градостроительства</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2(2/0)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2/0/0/0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0/2</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2/0/0</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 xml:space="preserve">Сектор </w:t>
            </w:r>
            <w:proofErr w:type="gramStart"/>
            <w:r w:rsidRPr="001733CF">
              <w:rPr>
                <w:rFonts w:ascii="Times New Roman" w:eastAsia="Times New Roman" w:hAnsi="Times New Roman" w:cs="Times New Roman"/>
                <w:sz w:val="24"/>
                <w:szCs w:val="24"/>
                <w:lang w:eastAsia="ru-RU"/>
              </w:rPr>
              <w:t>контроля за</w:t>
            </w:r>
            <w:proofErr w:type="gramEnd"/>
            <w:r w:rsidRPr="001733CF">
              <w:rPr>
                <w:rFonts w:ascii="Times New Roman" w:eastAsia="Times New Roman" w:hAnsi="Times New Roman" w:cs="Times New Roman"/>
                <w:sz w:val="24"/>
                <w:szCs w:val="24"/>
                <w:lang w:eastAsia="ru-RU"/>
              </w:rPr>
              <w:t xml:space="preserve"> соблюдением законодательства о градостроительной деятельности</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2(2/0)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0/1/1/0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2/0</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0/2/0</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Финансово-экономический отдел</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7(4/3)</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0/0/4/0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6/1</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0/0/7</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Отдел эксплуатации объектов тепло-, водоснабжения и водоотведения</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5 (5/0)</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0/0/5/0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1/4</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0/0/5</w:t>
            </w:r>
          </w:p>
        </w:tc>
      </w:tr>
      <w:tr w:rsidR="001733CF" w:rsidRPr="001733CF" w:rsidTr="001733CF">
        <w:trPr>
          <w:jc w:val="center"/>
        </w:trPr>
        <w:tc>
          <w:tcPr>
            <w:tcW w:w="22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Всего</w:t>
            </w:r>
          </w:p>
        </w:tc>
        <w:tc>
          <w:tcPr>
            <w:tcW w:w="198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62 (59/3)</w:t>
            </w:r>
          </w:p>
        </w:tc>
        <w:tc>
          <w:tcPr>
            <w:tcW w:w="170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2/1/56/0</w:t>
            </w:r>
          </w:p>
        </w:tc>
        <w:tc>
          <w:tcPr>
            <w:tcW w:w="1559"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43/19</w:t>
            </w:r>
          </w:p>
        </w:tc>
        <w:tc>
          <w:tcPr>
            <w:tcW w:w="2104"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1733CF" w:rsidRPr="001733CF" w:rsidRDefault="001733CF" w:rsidP="001733CF">
            <w:pPr>
              <w:spacing w:after="0" w:line="240" w:lineRule="auto"/>
              <w:jc w:val="center"/>
              <w:rPr>
                <w:rFonts w:ascii="Times New Roman" w:eastAsia="Times New Roman" w:hAnsi="Times New Roman" w:cs="Times New Roman"/>
                <w:sz w:val="24"/>
                <w:szCs w:val="24"/>
                <w:lang w:eastAsia="ru-RU"/>
              </w:rPr>
            </w:pPr>
            <w:r w:rsidRPr="001733CF">
              <w:rPr>
                <w:rFonts w:ascii="Times New Roman" w:eastAsia="Times New Roman" w:hAnsi="Times New Roman" w:cs="Times New Roman"/>
                <w:sz w:val="24"/>
                <w:szCs w:val="24"/>
                <w:lang w:eastAsia="ru-RU"/>
              </w:rPr>
              <w:t>6/11/45</w:t>
            </w:r>
          </w:p>
        </w:tc>
      </w:tr>
    </w:tbl>
    <w:p w:rsidR="001733CF" w:rsidRPr="001733CF" w:rsidRDefault="001733CF" w:rsidP="001733CF">
      <w:pPr>
        <w:spacing w:after="0" w:line="240" w:lineRule="auto"/>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 </w:t>
      </w:r>
    </w:p>
    <w:p w:rsidR="001733CF" w:rsidRPr="001733CF" w:rsidRDefault="001733CF" w:rsidP="001733CF">
      <w:pPr>
        <w:spacing w:after="0" w:line="240" w:lineRule="auto"/>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 </w:t>
      </w:r>
    </w:p>
    <w:p w:rsidR="001733CF" w:rsidRPr="001733CF" w:rsidRDefault="001733CF" w:rsidP="001733CF">
      <w:pPr>
        <w:spacing w:after="0" w:line="240" w:lineRule="auto"/>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 </w:t>
      </w:r>
    </w:p>
    <w:p w:rsidR="001733CF" w:rsidRPr="001733CF" w:rsidRDefault="001733CF" w:rsidP="001733CF">
      <w:pPr>
        <w:spacing w:after="0" w:line="240" w:lineRule="auto"/>
        <w:jc w:val="center"/>
        <w:rPr>
          <w:rFonts w:ascii="Arial" w:eastAsia="Times New Roman" w:hAnsi="Arial" w:cs="Arial"/>
          <w:color w:val="353535"/>
          <w:sz w:val="21"/>
          <w:szCs w:val="21"/>
          <w:lang w:eastAsia="ru-RU"/>
        </w:rPr>
      </w:pPr>
      <w:r w:rsidRPr="001733CF">
        <w:rPr>
          <w:rFonts w:ascii="Arial" w:eastAsia="Times New Roman" w:hAnsi="Arial" w:cs="Arial"/>
          <w:b/>
          <w:bCs/>
          <w:color w:val="353535"/>
          <w:sz w:val="21"/>
          <w:szCs w:val="21"/>
          <w:lang w:eastAsia="ru-RU"/>
        </w:rPr>
        <w:t>Классификация обращений поступивших в письменной форме и в форме электронного документа:</w:t>
      </w:r>
    </w:p>
    <w:p w:rsidR="001733CF" w:rsidRPr="001733CF" w:rsidRDefault="001733CF" w:rsidP="001733CF">
      <w:pPr>
        <w:spacing w:after="0" w:line="240" w:lineRule="auto"/>
        <w:ind w:left="720"/>
        <w:jc w:val="center"/>
        <w:rPr>
          <w:rFonts w:ascii="Arial" w:eastAsia="Times New Roman" w:hAnsi="Arial" w:cs="Arial"/>
          <w:color w:val="353535"/>
          <w:sz w:val="21"/>
          <w:szCs w:val="21"/>
          <w:lang w:eastAsia="ru-RU"/>
        </w:rPr>
      </w:pPr>
      <w:r w:rsidRPr="001733CF">
        <w:rPr>
          <w:rFonts w:ascii="Arial" w:eastAsia="Times New Roman" w:hAnsi="Arial" w:cs="Arial"/>
          <w:b/>
          <w:bCs/>
          <w:color w:val="353535"/>
          <w:sz w:val="21"/>
          <w:szCs w:val="21"/>
          <w:lang w:eastAsia="ru-RU"/>
        </w:rPr>
        <w:t>1. По территориальности проживания заявителей</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Жителями Смоленской области направлено 92,9% обращений, иногородними гражданами России и иностранцами – 6,7% обращений, гражданами без указания точного адреса проживания - 0%.</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Высокую активность в отчетном периоде текущего года проявляли граждане, проживающие в</w:t>
      </w:r>
      <w:proofErr w:type="gramStart"/>
      <w:r w:rsidRPr="001733CF">
        <w:rPr>
          <w:rFonts w:ascii="Arial" w:eastAsia="Times New Roman" w:hAnsi="Arial" w:cs="Arial"/>
          <w:color w:val="353535"/>
          <w:sz w:val="21"/>
          <w:szCs w:val="21"/>
          <w:lang w:eastAsia="ru-RU"/>
        </w:rPr>
        <w:t xml:space="preserve"> .</w:t>
      </w:r>
      <w:proofErr w:type="gramEnd"/>
      <w:r w:rsidRPr="001733CF">
        <w:rPr>
          <w:rFonts w:ascii="Arial" w:eastAsia="Times New Roman" w:hAnsi="Arial" w:cs="Arial"/>
          <w:color w:val="353535"/>
          <w:sz w:val="21"/>
          <w:szCs w:val="21"/>
          <w:lang w:eastAsia="ru-RU"/>
        </w:rPr>
        <w:t xml:space="preserve"> Смоленске, </w:t>
      </w:r>
      <w:proofErr w:type="spellStart"/>
      <w:r w:rsidRPr="001733CF">
        <w:rPr>
          <w:rFonts w:ascii="Arial" w:eastAsia="Times New Roman" w:hAnsi="Arial" w:cs="Arial"/>
          <w:color w:val="353535"/>
          <w:sz w:val="21"/>
          <w:szCs w:val="21"/>
          <w:lang w:eastAsia="ru-RU"/>
        </w:rPr>
        <w:t>Рославльском</w:t>
      </w:r>
      <w:proofErr w:type="spellEnd"/>
      <w:r w:rsidRPr="001733CF">
        <w:rPr>
          <w:rFonts w:ascii="Arial" w:eastAsia="Times New Roman" w:hAnsi="Arial" w:cs="Arial"/>
          <w:color w:val="353535"/>
          <w:sz w:val="21"/>
          <w:szCs w:val="21"/>
          <w:lang w:eastAsia="ru-RU"/>
        </w:rPr>
        <w:t xml:space="preserve"> районе, </w:t>
      </w:r>
      <w:proofErr w:type="spellStart"/>
      <w:r w:rsidRPr="001733CF">
        <w:rPr>
          <w:rFonts w:ascii="Arial" w:eastAsia="Times New Roman" w:hAnsi="Arial" w:cs="Arial"/>
          <w:color w:val="353535"/>
          <w:sz w:val="21"/>
          <w:szCs w:val="21"/>
          <w:lang w:eastAsia="ru-RU"/>
        </w:rPr>
        <w:t>Ярцевском</w:t>
      </w:r>
      <w:proofErr w:type="spellEnd"/>
      <w:r w:rsidRPr="001733CF">
        <w:rPr>
          <w:rFonts w:ascii="Arial" w:eastAsia="Times New Roman" w:hAnsi="Arial" w:cs="Arial"/>
          <w:color w:val="353535"/>
          <w:sz w:val="21"/>
          <w:szCs w:val="21"/>
          <w:lang w:eastAsia="ru-RU"/>
        </w:rPr>
        <w:t xml:space="preserve"> районе.</w:t>
      </w:r>
    </w:p>
    <w:p w:rsidR="001733CF" w:rsidRPr="001733CF" w:rsidRDefault="001733CF" w:rsidP="001733CF">
      <w:pPr>
        <w:spacing w:after="0" w:line="240" w:lineRule="auto"/>
        <w:jc w:val="center"/>
        <w:rPr>
          <w:rFonts w:ascii="Arial" w:eastAsia="Times New Roman" w:hAnsi="Arial" w:cs="Arial"/>
          <w:color w:val="353535"/>
          <w:sz w:val="21"/>
          <w:szCs w:val="21"/>
          <w:lang w:eastAsia="ru-RU"/>
        </w:rPr>
      </w:pPr>
      <w:r w:rsidRPr="001733CF">
        <w:rPr>
          <w:rFonts w:ascii="Arial" w:eastAsia="Times New Roman" w:hAnsi="Arial" w:cs="Arial"/>
          <w:b/>
          <w:bCs/>
          <w:color w:val="353535"/>
          <w:sz w:val="21"/>
          <w:szCs w:val="21"/>
          <w:lang w:eastAsia="ru-RU"/>
        </w:rPr>
        <w:t>2. По социальному статусу заявителей</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 xml:space="preserve">Проведенный анализ показывает, обращаются различные категории граждан, независимо от социального положения и уровня жизни. </w:t>
      </w:r>
      <w:proofErr w:type="gramStart"/>
      <w:r w:rsidRPr="001733CF">
        <w:rPr>
          <w:rFonts w:ascii="Arial" w:eastAsia="Times New Roman" w:hAnsi="Arial" w:cs="Arial"/>
          <w:color w:val="353535"/>
          <w:sz w:val="21"/>
          <w:szCs w:val="21"/>
          <w:lang w:eastAsia="ru-RU"/>
        </w:rPr>
        <w:t xml:space="preserve">Следует отметить обращения граждан, имеющих </w:t>
      </w:r>
      <w:r w:rsidRPr="001733CF">
        <w:rPr>
          <w:rFonts w:ascii="Arial" w:eastAsia="Times New Roman" w:hAnsi="Arial" w:cs="Arial"/>
          <w:color w:val="353535"/>
          <w:sz w:val="21"/>
          <w:szCs w:val="21"/>
          <w:lang w:eastAsia="ru-RU"/>
        </w:rPr>
        <w:lastRenderedPageBreak/>
        <w:t>льготы, а также относящихся к социально незащищенным слоям населения. 20,9 % от числа лиц, обратившихся в отчётном периоде на имя Губернатора Смоленской области, заместителей Губернатора Смоленской области и в адрес Администрации Смоленской области, составляют пенсионеры, инвалиды, участники и ветераны Великой Отечественной войны, их вдовы, труженики тыла, узники фашизма, ветераны труда, сироты и многодетные матери.</w:t>
      </w:r>
      <w:proofErr w:type="gramEnd"/>
    </w:p>
    <w:p w:rsidR="001733CF" w:rsidRPr="001733CF" w:rsidRDefault="001733CF" w:rsidP="001733CF">
      <w:pPr>
        <w:spacing w:after="0" w:line="240" w:lineRule="auto"/>
        <w:jc w:val="center"/>
        <w:rPr>
          <w:rFonts w:ascii="Arial" w:eastAsia="Times New Roman" w:hAnsi="Arial" w:cs="Arial"/>
          <w:color w:val="353535"/>
          <w:sz w:val="21"/>
          <w:szCs w:val="21"/>
          <w:lang w:eastAsia="ru-RU"/>
        </w:rPr>
      </w:pPr>
      <w:r w:rsidRPr="001733CF">
        <w:rPr>
          <w:rFonts w:ascii="Arial" w:eastAsia="Times New Roman" w:hAnsi="Arial" w:cs="Arial"/>
          <w:b/>
          <w:bCs/>
          <w:color w:val="353535"/>
          <w:sz w:val="21"/>
          <w:szCs w:val="21"/>
          <w:lang w:eastAsia="ru-RU"/>
        </w:rPr>
        <w:t>3. По категориям проблемных вопросов</w:t>
      </w:r>
    </w:p>
    <w:p w:rsidR="001733CF" w:rsidRPr="001733CF" w:rsidRDefault="001733CF" w:rsidP="001733CF">
      <w:pPr>
        <w:spacing w:after="0" w:line="240" w:lineRule="auto"/>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В отчётном периоде чаще всего граждане обращались по следующей тематике:</w:t>
      </w:r>
    </w:p>
    <w:p w:rsidR="001733CF" w:rsidRPr="001733CF" w:rsidRDefault="001733CF" w:rsidP="001733CF">
      <w:pPr>
        <w:spacing w:after="0" w:line="240" w:lineRule="auto"/>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вопросы жилищно-коммунального хозяйства – 50,6%;</w:t>
      </w:r>
    </w:p>
    <w:p w:rsidR="001733CF" w:rsidRPr="001733CF" w:rsidRDefault="001733CF" w:rsidP="001733CF">
      <w:pPr>
        <w:spacing w:after="0" w:line="240" w:lineRule="auto"/>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вопросы переселения из аварийного жилья – 11,3%</w:t>
      </w:r>
    </w:p>
    <w:p w:rsidR="001733CF" w:rsidRPr="001733CF" w:rsidRDefault="001733CF" w:rsidP="001733CF">
      <w:pPr>
        <w:spacing w:after="0" w:line="240" w:lineRule="auto"/>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вопросы строительства, газификации – 7,2%;</w:t>
      </w:r>
      <w:r w:rsidRPr="001733CF">
        <w:rPr>
          <w:rFonts w:ascii="Arial" w:eastAsia="Times New Roman" w:hAnsi="Arial" w:cs="Arial"/>
          <w:color w:val="353535"/>
          <w:sz w:val="21"/>
          <w:szCs w:val="21"/>
          <w:lang w:eastAsia="ru-RU"/>
        </w:rPr>
        <w:br/>
        <w:t> </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Основными причинами многочисленных обращений граждан </w:t>
      </w:r>
      <w:r w:rsidRPr="001733CF">
        <w:rPr>
          <w:rFonts w:ascii="Arial" w:eastAsia="Times New Roman" w:hAnsi="Arial" w:cs="Arial"/>
          <w:b/>
          <w:bCs/>
          <w:color w:val="353535"/>
          <w:sz w:val="21"/>
          <w:szCs w:val="21"/>
          <w:lang w:eastAsia="ru-RU"/>
        </w:rPr>
        <w:t xml:space="preserve">в сфере </w:t>
      </w:r>
      <w:proofErr w:type="spellStart"/>
      <w:r w:rsidRPr="001733CF">
        <w:rPr>
          <w:rFonts w:ascii="Arial" w:eastAsia="Times New Roman" w:hAnsi="Arial" w:cs="Arial"/>
          <w:b/>
          <w:bCs/>
          <w:color w:val="353535"/>
          <w:sz w:val="21"/>
          <w:szCs w:val="21"/>
          <w:lang w:eastAsia="ru-RU"/>
        </w:rPr>
        <w:t>жилищно</w:t>
      </w:r>
      <w:proofErr w:type="spellEnd"/>
      <w:r w:rsidRPr="001733CF">
        <w:rPr>
          <w:rFonts w:ascii="Arial" w:eastAsia="Times New Roman" w:hAnsi="Arial" w:cs="Arial"/>
          <w:b/>
          <w:bCs/>
          <w:color w:val="353535"/>
          <w:sz w:val="21"/>
          <w:szCs w:val="21"/>
          <w:lang w:eastAsia="ru-RU"/>
        </w:rPr>
        <w:t>–коммунального хозяйства</w:t>
      </w:r>
      <w:r w:rsidRPr="001733CF">
        <w:rPr>
          <w:rFonts w:ascii="Arial" w:eastAsia="Times New Roman" w:hAnsi="Arial" w:cs="Arial"/>
          <w:color w:val="353535"/>
          <w:sz w:val="21"/>
          <w:szCs w:val="21"/>
          <w:lang w:eastAsia="ru-RU"/>
        </w:rPr>
        <w:t xml:space="preserve"> явились, в первую очередь, проблемы по содержанию и обеспечению коммунальными услугами жилого фонда. К ним относятся вопросы по выполнению работ по капитальному ремонту МКД, по предоставлению коммунальных услуг ненадлежащего качества (водоснабжение, отопление, канализация), по содержанию общего имущества (кровля, инженерное оборудование, места общего пользования, придомовая территория), оплате </w:t>
      </w:r>
      <w:proofErr w:type="spellStart"/>
      <w:r w:rsidRPr="001733CF">
        <w:rPr>
          <w:rFonts w:ascii="Arial" w:eastAsia="Times New Roman" w:hAnsi="Arial" w:cs="Arial"/>
          <w:color w:val="353535"/>
          <w:sz w:val="21"/>
          <w:szCs w:val="21"/>
          <w:lang w:eastAsia="ru-RU"/>
        </w:rPr>
        <w:t>жилищно</w:t>
      </w:r>
      <w:proofErr w:type="spellEnd"/>
      <w:r w:rsidRPr="001733CF">
        <w:rPr>
          <w:rFonts w:ascii="Arial" w:eastAsia="Times New Roman" w:hAnsi="Arial" w:cs="Arial"/>
          <w:color w:val="353535"/>
          <w:sz w:val="21"/>
          <w:szCs w:val="21"/>
          <w:lang w:eastAsia="ru-RU"/>
        </w:rPr>
        <w:t>–коммунальных услуг.</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Как видно из анализа, значительная часть обращений связана с вопросами соблюдения правил и норм технической эксплуатации жилищного фонда. Жильцы многоквартирных домов, как правило, не удовлетворены работой своих управляющих компаний по обслуживанию и ремонту общего имущества.</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 xml:space="preserve">Проблемы в оплате </w:t>
      </w:r>
      <w:proofErr w:type="spellStart"/>
      <w:r w:rsidRPr="001733CF">
        <w:rPr>
          <w:rFonts w:ascii="Arial" w:eastAsia="Times New Roman" w:hAnsi="Arial" w:cs="Arial"/>
          <w:color w:val="353535"/>
          <w:sz w:val="21"/>
          <w:szCs w:val="21"/>
          <w:lang w:eastAsia="ru-RU"/>
        </w:rPr>
        <w:t>жилищно</w:t>
      </w:r>
      <w:proofErr w:type="spellEnd"/>
      <w:r w:rsidRPr="001733CF">
        <w:rPr>
          <w:rFonts w:ascii="Arial" w:eastAsia="Times New Roman" w:hAnsi="Arial" w:cs="Arial"/>
          <w:color w:val="353535"/>
          <w:sz w:val="21"/>
          <w:szCs w:val="21"/>
          <w:lang w:eastAsia="ru-RU"/>
        </w:rPr>
        <w:t>–коммунальных услуг связаны с системой расчетов за коммунальные услуги, недоверием потребителей к обоснованности выставляемых платежей.</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r w:rsidRPr="001733CF">
        <w:rPr>
          <w:rFonts w:ascii="Arial" w:eastAsia="Times New Roman" w:hAnsi="Arial" w:cs="Arial"/>
          <w:color w:val="353535"/>
          <w:sz w:val="21"/>
          <w:szCs w:val="21"/>
          <w:lang w:eastAsia="ru-RU"/>
        </w:rPr>
        <w:t>Рост обращений по вопросам выполнения работ по капитальному ремонту общего имущества в многоквартирных домах и обязанности внесения взноса на капитальный ремонт обусловлен необходимостью проведения работ в ближайшее время (в отличие от вопросов прошлого года, связанных с несогласием населения с государственной политикой о взимании дополнительных денежных средств на капитальный ремонт).</w:t>
      </w:r>
    </w:p>
    <w:p w:rsidR="001733CF" w:rsidRPr="001733CF" w:rsidRDefault="001733CF" w:rsidP="001733CF">
      <w:pPr>
        <w:spacing w:after="0" w:line="240" w:lineRule="auto"/>
        <w:jc w:val="center"/>
        <w:rPr>
          <w:rFonts w:ascii="Arial" w:eastAsia="Times New Roman" w:hAnsi="Arial" w:cs="Arial"/>
          <w:color w:val="353535"/>
          <w:sz w:val="21"/>
          <w:szCs w:val="21"/>
          <w:lang w:eastAsia="ru-RU"/>
        </w:rPr>
      </w:pPr>
      <w:r w:rsidRPr="001733CF">
        <w:rPr>
          <w:rFonts w:ascii="Arial" w:eastAsia="Times New Roman" w:hAnsi="Arial" w:cs="Arial"/>
          <w:b/>
          <w:bCs/>
          <w:color w:val="353535"/>
          <w:sz w:val="21"/>
          <w:szCs w:val="21"/>
          <w:lang w:eastAsia="ru-RU"/>
        </w:rPr>
        <w:t>4. Личные приёмы граждан</w:t>
      </w:r>
    </w:p>
    <w:p w:rsidR="001733CF" w:rsidRPr="001733CF" w:rsidRDefault="001733CF" w:rsidP="001733CF">
      <w:pPr>
        <w:spacing w:after="0" w:line="240" w:lineRule="auto"/>
        <w:jc w:val="both"/>
        <w:rPr>
          <w:rFonts w:ascii="Arial" w:eastAsia="Times New Roman" w:hAnsi="Arial" w:cs="Arial"/>
          <w:color w:val="353535"/>
          <w:sz w:val="21"/>
          <w:szCs w:val="21"/>
          <w:lang w:eastAsia="ru-RU"/>
        </w:rPr>
      </w:pPr>
      <w:bookmarkStart w:id="0" w:name="_GoBack"/>
      <w:r w:rsidRPr="001733CF">
        <w:rPr>
          <w:rFonts w:ascii="Arial" w:eastAsia="Times New Roman" w:hAnsi="Arial" w:cs="Arial"/>
          <w:color w:val="353535"/>
          <w:sz w:val="21"/>
          <w:szCs w:val="21"/>
          <w:lang w:eastAsia="ru-RU"/>
        </w:rPr>
        <w:t>В 2019 году начальником Департамента в ходе личных приемов на базе приемной Администрации Смоленской области принято 63 гражданина.</w:t>
      </w:r>
    </w:p>
    <w:bookmarkEnd w:id="0"/>
    <w:p w:rsidR="00932EAF" w:rsidRDefault="001733CF" w:rsidP="001733CF">
      <w:pPr>
        <w:jc w:val="both"/>
      </w:pPr>
    </w:p>
    <w:sectPr w:rsidR="00932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CF"/>
    <w:rsid w:val="001733CF"/>
    <w:rsid w:val="006C069B"/>
    <w:rsid w:val="00D57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3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33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3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3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0784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77">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2094743356">
          <w:marLeft w:val="0"/>
          <w:marRight w:val="0"/>
          <w:marTop w:val="0"/>
          <w:marBottom w:val="0"/>
          <w:divBdr>
            <w:top w:val="none" w:sz="0" w:space="0" w:color="auto"/>
            <w:left w:val="none" w:sz="0" w:space="0" w:color="auto"/>
            <w:bottom w:val="none" w:sz="0" w:space="0" w:color="auto"/>
            <w:right w:val="none" w:sz="0" w:space="0" w:color="auto"/>
          </w:divBdr>
        </w:div>
        <w:div w:id="51541147">
          <w:marLeft w:val="0"/>
          <w:marRight w:val="0"/>
          <w:marTop w:val="0"/>
          <w:marBottom w:val="0"/>
          <w:divBdr>
            <w:top w:val="none" w:sz="0" w:space="0" w:color="auto"/>
            <w:left w:val="none" w:sz="0" w:space="0" w:color="auto"/>
            <w:bottom w:val="none" w:sz="0" w:space="0" w:color="auto"/>
            <w:right w:val="none" w:sz="0" w:space="0" w:color="auto"/>
          </w:divBdr>
        </w:div>
        <w:div w:id="759176146">
          <w:marLeft w:val="0"/>
          <w:marRight w:val="0"/>
          <w:marTop w:val="0"/>
          <w:marBottom w:val="0"/>
          <w:divBdr>
            <w:top w:val="none" w:sz="0" w:space="0" w:color="auto"/>
            <w:left w:val="none" w:sz="0" w:space="0" w:color="auto"/>
            <w:bottom w:val="none" w:sz="0" w:space="0" w:color="auto"/>
            <w:right w:val="none" w:sz="0" w:space="0" w:color="auto"/>
          </w:divBdr>
        </w:div>
        <w:div w:id="1490561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Сенилова Ольга Анатольевна</dc:creator>
  <cp:lastModifiedBy>Сенилова Ольга Анатольевна</cp:lastModifiedBy>
  <cp:revision>1</cp:revision>
  <dcterms:created xsi:type="dcterms:W3CDTF">2025-04-03T12:30:00Z</dcterms:created>
  <dcterms:modified xsi:type="dcterms:W3CDTF">2025-04-03T12:32:00Z</dcterms:modified>
</cp:coreProperties>
</file>