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81-05-02-2001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40" w:right="8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520" w:hanging="2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АВТОМАТИЗИРОВАННЫЕ СИСТЕМЫ УПРАВЛЕНИЯ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250.45pt" to="391.75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25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25pt,283.15pt" o:allowincell="f" strokecolor="white" strokeweight="3pt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8C03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620" w:bottom="941" w:left="4040" w:header="720" w:footer="720" w:gutter="0"/>
          <w:cols w:space="720" w:equalWidth="0">
            <w:col w:w="624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740" w:right="88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81-05-02-2001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АВТОМАТИЗИРОВАННЫЕ СИСТЕМЫ УПРАВЛЕНИЯ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640" w:bottom="1103" w:left="1820" w:header="720" w:footer="720" w:gutter="0"/>
          <w:cols w:space="720" w:equalWidth="0">
            <w:col w:w="844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пусконаладочные работы. Смоленская область ТЕРп 81-05-02-2001 Часть 2. Автоматизированные системы управления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9 стр.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пусконала</w:t>
      </w:r>
      <w:r>
        <w:rPr>
          <w:rFonts w:ascii="Times New Roman" w:hAnsi="Times New Roman" w:cs="Times New Roman"/>
          <w:sz w:val="20"/>
          <w:szCs w:val="20"/>
        </w:rPr>
        <w:t>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2</w:t>
      </w:r>
      <w:r>
        <w:rPr>
          <w:rFonts w:ascii="Times New Roman" w:hAnsi="Times New Roman" w:cs="Times New Roman"/>
          <w:sz w:val="20"/>
          <w:szCs w:val="20"/>
        </w:rPr>
        <w:t>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2. Автоматизированные системы управления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АВТОМАТИЗИРОВАННЫЕ СИСТЕМЫ УПРАВЛЕНИЯ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02-01-001.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Автоматизированные системы управления I категории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технической сложности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Автоматизированная система управления I категории технической сложности с количеством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каналов (Кобщ):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 до 9 добавлять к расценке 02-01-001-01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10 до 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добавлять к расценке 02-01-001-03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20 до 39 добавлять к расценке 02-01-001-05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2897,29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40 до 79 добавлять к расценке 02-01-001-07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5679,16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80 до 159 добавлять к расценке 02-01-001-09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11104,37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каждый канал свыше 160 до 319 добавлять 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02-01-001-11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21354,55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320 до 639 добавлять к расценке 02-01-001-13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40515,93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640 до 1279 добавлять к расценке 02-01-001-15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73067,19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44" style="position:absolute;margin-left:-.6pt;margin-top:-484pt;width:.95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-.6pt;margin-top:-320.65pt;width:.95pt;height:.95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-.6pt;margin-top:-308.65pt;width:.95pt;height:.95pt;z-index:-251637760;mso-position-horizontal-relative:text;mso-position-vertical-relative:text" o:allowincell="f" fillcolor="#010000" stroked="f"/>
        </w:pict>
      </w:r>
      <w:r>
        <w:rPr>
          <w:noProof/>
        </w:rPr>
        <w:pict>
          <v:rect id="_x0000_s1047" style="position:absolute;margin-left:-.6pt;margin-top:-297.75pt;width:.95pt;height:1pt;z-index:-251636736;mso-position-horizontal-relative:text;mso-position-vertical-relative:text" o:allowincell="f" fillcolor="#010000" stroked="f"/>
        </w:pict>
      </w:r>
      <w:r>
        <w:rPr>
          <w:noProof/>
        </w:rPr>
        <w:pict>
          <v:rect id="_x0000_s1048" style="position:absolute;margin-left:-.6pt;margin-top:-252pt;width:.95pt;height:.95pt;z-index:-251635712;mso-position-horizontal-relative:text;mso-position-vertical-relative:text" o:allowincell="f" fillcolor="#010000" stroked="f"/>
        </w:pict>
      </w:r>
      <w:r>
        <w:rPr>
          <w:noProof/>
        </w:rPr>
        <w:pict>
          <v:rect id="_x0000_s1049" style="position:absolute;margin-left:-.6pt;margin-top:-206.4pt;width:.95pt;height:.95pt;z-index:-251634688;mso-position-horizontal-relative:text;mso-position-vertical-relative:text" o:allowincell="f" fillcolor="#010000" stroked="f"/>
        </w:pict>
      </w:r>
      <w:r>
        <w:rPr>
          <w:noProof/>
        </w:rPr>
        <w:pict>
          <v:rect id="_x0000_s1050" style="position:absolute;margin-left:-.6pt;margin-top:-160.7pt;width:.95pt;height:1pt;z-index:-251633664;mso-position-horizontal-relative:text;mso-position-vertical-relative:text" o:allowincell="f" fillcolor="#010000" stroked="f"/>
        </w:pict>
      </w:r>
      <w:r>
        <w:rPr>
          <w:noProof/>
        </w:rPr>
        <w:pict>
          <v:rect id="_x0000_s1051" style="position:absolute;margin-left:-.6pt;margin-top:-137.75pt;width:.95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rect id="_x0000_s1052" style="position:absolute;margin-left:-.6pt;margin-top:-125.75pt;width:.95pt;height:.95pt;z-index:-251631616;mso-position-horizontal-relative:text;mso-position-vertical-relative:text" o:allowincell="f" fillcolor="#010000" stroked="f"/>
        </w:pict>
      </w:r>
      <w:r>
        <w:rPr>
          <w:noProof/>
        </w:rPr>
        <w:pict>
          <v:rect id="_x0000_s1053" style="position:absolute;margin-left:-.6pt;margin-top:-92pt;width:.95pt;height:.95pt;z-index:-251630592;mso-position-horizontal-relative:text;mso-position-vertical-relative:text" o:allowincell="f" fillcolor="#010000" stroked="f"/>
        </w:pict>
      </w:r>
      <w:r>
        <w:rPr>
          <w:noProof/>
        </w:rPr>
        <w:pict>
          <v:rect id="_x0000_s1054" style="position:absolute;margin-left:-.6pt;margin-top:-69.2pt;width:.95pt;height:.95pt;z-index:-251629568;mso-position-horizontal-relative:text;mso-position-vertical-relative:text" o:allowincell="f" fillcolor="#010000" stroked="f"/>
        </w:pict>
      </w:r>
      <w:r>
        <w:rPr>
          <w:noProof/>
        </w:rPr>
        <w:pict>
          <v:rect id="_x0000_s1055" style="position:absolute;margin-left:-.6pt;margin-top:-46.4pt;width:.95pt;height:.95pt;z-index:-251628544;mso-position-horizontal-relative:text;mso-position-vertical-relative:text" o:allowincell="f" fillcolor="#010000" stroked="f"/>
        </w:pict>
      </w:r>
      <w:r>
        <w:rPr>
          <w:noProof/>
        </w:rPr>
        <w:pict>
          <v:rect id="_x0000_s1056" style="position:absolute;margin-left:-.6pt;margin-top:-34.4pt;width:.95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rect id="_x0000_s1057" style="position:absolute;margin-left:-.6pt;margin-top:-.7pt;width:.95pt;height:.95pt;z-index:-251626496;mso-position-horizontal-relative:text;mso-position-vertical-relative:text" o:allowincell="f" fillcolor="#010000" stroked="f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59" style="position:absolute;margin-left:0;margin-top:9.8pt;width:1pt;height:.95pt;z-index:-25162444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49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02-01-001-18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1280 до 2559 добавлять к расценке 02-01-001-17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02-01-001-19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124664,40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02-01-001-20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2560 добавлять к расценке 02-01-001-19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489.4pt,-.45pt" to="489.4pt,54.55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5pt,54.1pt" to=".5pt,75.7pt" o:allowincell="f" strokeweight=".16931mm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02-01-002. Автоматизированные системы управления 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категории технической сложности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489.5pt,1.5pt" to="489.5pt,34.05pt" o:allowincell="f" strokeweight=".48pt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Автоматизированная система управления II категории технической сложности с количеством каналов (Кобщ):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9 добавлять к расценке 02-01-002-01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10 до 19 добавлять к расценке 02-01-002-03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20 до 39 добавлять к расценке 02-01-002-05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40 до 79 добавлять к расценке 02-01-002-07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80 до 159 добавлять к расценке 02-01-002-09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160 до 319 добавлять к расценке 02-01-002-11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29271,78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320 до 639 добавлять к расценке 02-01-002-13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каждый канал свыше 640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1279 добавлять к расценке 02-01-002-15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100102,26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1280 до 2559 добавлять к расценке 02-01-002-17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170691,82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2560 добавлять к расценке 02-01-002-19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65" style="position:absolute;margin-left:0;margin-top:-389.2pt;width:1pt;height:1pt;z-index:-251618304;mso-position-horizontal-relative:text;mso-position-vertical-relative:text" o:allowincell="f" fillcolor="#010000" stroked="f"/>
        </w:pict>
      </w:r>
      <w:r>
        <w:rPr>
          <w:noProof/>
        </w:rPr>
        <w:pict>
          <v:rect id="_x0000_s1066" style="position:absolute;margin-left:0;margin-top:-183.6pt;width:1pt;height:.95pt;z-index:-251617280;mso-position-horizontal-relative:text;mso-position-vertical-relative:text" o:allowincell="f" fillcolor="#010000" stroked="f"/>
        </w:pict>
      </w:r>
      <w:r>
        <w:rPr>
          <w:noProof/>
        </w:rPr>
        <w:pict>
          <v:rect id="_x0000_s1067" style="position:absolute;margin-left:0;margin-top:-137.9pt;width:1pt;height:1pt;z-index:-251616256;mso-position-horizontal-relative:text;mso-position-vertical-relative:text" o:allowincell="f" fillcolor="#010000" stroked="f"/>
        </w:pict>
      </w:r>
      <w:r>
        <w:rPr>
          <w:noProof/>
        </w:rPr>
        <w:pict>
          <v:rect id="_x0000_s1068" style="position:absolute;margin-left:0;margin-top:-115.1pt;width:1pt;height:1pt;z-index:-251615232;mso-position-horizontal-relative:text;mso-position-vertical-relative:text" o:allowincell="f" fillcolor="#010000" stroked="f"/>
        </w:pict>
      </w:r>
      <w:r>
        <w:rPr>
          <w:noProof/>
        </w:rPr>
        <w:pict>
          <v:rect id="_x0000_s1069" style="position:absolute;margin-left:0;margin-top:-92.15pt;width:1pt;height:.95pt;z-index:-251614208;mso-position-horizontal-relative:text;mso-position-vertical-relative:text" o:allowincell="f" fillcolor="#010000" stroked="f"/>
        </w:pict>
      </w:r>
      <w:r>
        <w:rPr>
          <w:noProof/>
        </w:rPr>
        <w:pict>
          <v:rect id="_x0000_s1070" style="position:absolute;margin-left:0;margin-top:-46.4pt;width:1pt;height:.95pt;z-index:-251613184;mso-position-horizontal-relative:text;mso-position-vertical-relative:text" o:allowincell="f" fillcolor="#010000" stroked="f"/>
        </w:pict>
      </w:r>
      <w:r>
        <w:rPr>
          <w:noProof/>
        </w:rPr>
        <w:pict>
          <v:rect id="_x0000_s1071" style="position:absolute;margin-left:0;margin-top:-23.6pt;width:1pt;height:.95pt;z-index:-251612160;mso-position-horizontal-relative:text;mso-position-vertical-relative:text" o:allowincell="f" fillcolor="#010000" stroked="f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73" style="position:absolute;margin-left:-.6pt;margin-top:9.8pt;width:.95pt;height:.95pt;z-index:-25161011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-.1pt,54.1pt" to="-.1pt,75.7pt" o:allowincell="f" strokeweight=".16931mm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02-01-003. Автоматизированные системы управления III категории технической сложности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488.8pt,1.5pt" to="488.8pt,34pt" o:allowincell="f" strokeweight=".48pt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Автоматизированная система управления III категории технической сложности с количеством каналов (Кобщ):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 до 9 добавлять к расценке 02-01-003-01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10 до 19 добавлять к расценке 02-01-003-03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20 до 39 добавлять к расценке 02-01-003-05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40 до 79 добавлять к расценке 02-01-003-07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80 до 159 добавлять к расценке 02-01-003-09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160 до 319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добавлять к расценке 02-01-003-11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38412,99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320 до 639 добавлять к расценке 02-01-003-13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72862,74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640 до 1279 добавлять к расценке 02-01-003-15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131396,82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1280 до 2559 добавлять к расценке 02-01-003-17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224208,33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канал свыше 2560 добавлять к расценке 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-01-003-19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9" style="position:absolute;margin-left:-.6pt;margin-top:-377.2pt;width:.95pt;height:1pt;z-index:-251603968;mso-position-horizontal-relative:text;mso-position-vertical-relative:text" o:allowincell="f" fillcolor="#010000" stroked="f"/>
        </w:pict>
      </w:r>
      <w:r>
        <w:rPr>
          <w:noProof/>
        </w:rPr>
        <w:pict>
          <v:rect id="_x0000_s1080" style="position:absolute;margin-left:-.6pt;margin-top:-320.5pt;width:.95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rect id="_x0000_s1081" style="position:absolute;margin-left:-.6pt;margin-top:-114.95pt;width:.95pt;height:1pt;z-index:-251601920;mso-position-horizontal-relative:text;mso-position-vertical-relative:text" o:allowincell="f" fillcolor="#010000" stroked="f"/>
        </w:pict>
      </w:r>
      <w:r>
        <w:rPr>
          <w:noProof/>
        </w:rPr>
        <w:pict>
          <v:rect id="_x0000_s1082" style="position:absolute;margin-left:-.6pt;margin-top:-69.2pt;width:.95pt;height:.95pt;z-index:-251600896;mso-position-horizontal-relative:text;mso-position-vertical-relative:text" o:allowincell="f" fillcolor="#010000" stroked="f"/>
        </w:pict>
      </w:r>
      <w:r>
        <w:rPr>
          <w:noProof/>
        </w:rPr>
        <w:pict>
          <v:rect id="_x0000_s1083" style="position:absolute;margin-left:-.6pt;margin-top:-46.4pt;width:.95pt;height:.95pt;z-index:-251599872;mso-position-horizontal-relative:text;mso-position-vertical-relative:text" o:allowincell="f" fillcolor="#010000" stroked="f"/>
        </w:pict>
      </w:r>
      <w:r>
        <w:rPr>
          <w:noProof/>
        </w:rPr>
        <w:pict>
          <v:rect id="_x0000_s1084" style="position:absolute;margin-left:-.6pt;margin-top:-23.5pt;width:.95pt;height:.95pt;z-index:-251598848;mso-position-horizontal-relative:text;mso-position-vertical-relative:text" o:allowincell="f" fillcolor="#010000" stroked="f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-.15pt,-.45pt" to="-.15pt,101.9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488.75pt,-.45pt" to="488.75pt,101.9pt" o:allowincell="f" strokeweight=".04231mm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660" w:right="1380" w:hanging="12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АППАРАТНО-ПРОГРАММНЫЕ СРЕДСТВА ВЫЧИСЛИТЕЛЬНОЙ ТЕХНИКИ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02-02-001. Инсталляция и базовая настройка общего и специального программного обеспечения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инсталляция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Инсталляция и базовая настройка общего и специального программного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88" style="position:absolute;margin-left:0;margin-top:9.8pt;width:1pt;height:.95pt;z-index:-2515947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489.4pt,-.45pt" to="489.4pt,40.75pt" o:allowincell="f" strokeweight=".12pt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Функциональная настройка общего программного обеспечения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функция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настройка общего программного обеспечения АС,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функций - 1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489.4pt,-.45pt" to="489.4pt,54.55pt" o:allowincell="f" strokeweight=".12pt"/>
        </w:pict>
      </w: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02-02-003. Функциональная настройка специ</w:t>
      </w:r>
      <w:r>
        <w:rPr>
          <w:rFonts w:ascii="Times New Roman" w:hAnsi="Times New Roman" w:cs="Times New Roman"/>
          <w:b/>
          <w:bCs/>
          <w:sz w:val="24"/>
          <w:szCs w:val="24"/>
        </w:rPr>
        <w:t>ального программного обеспечения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функция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настройка специального программного обеспечения АС,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функций - 1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5pt,40.35pt" to=".5pt,52.8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02-02-004. Автономная наладка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7" style="position:absolute;margin-left:0;margin-top:56.55pt;width:1pt;height:1pt;z-index:-251585536;mso-position-horizontal-relative:text;mso-position-vertical-relative:text" o:allowincell="f" fillcolor="#010000" stroked="f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45pt,56.8pt" to=".45pt,98.1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489.5pt,1.5pt" to="489.5pt,57.3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489.4pt,56.8pt" to="489.4pt,98.1pt" o:allowincell="f" strokeweight=".12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25pt,97.85pt" to="489.7pt,97.85pt" o:allowincell="f" strokeweight=".48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5pt,97.6pt" to=".5pt,110.1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Автономная наладка АС: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категории сложности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94,56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Комплексная наладка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45pt,56.75pt" to=".45pt,98.05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89.5pt,1.3pt" to="489.5pt,57.25pt" o:allowincell="f" strokeweight=".48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489.4pt,56.75pt" to="489.4pt,98.0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25pt,97.8pt" to="489.7pt,97.8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5pt,97.6pt" to=".5pt,110.0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Комплексная наладка АС: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категории сложности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02-02-006. Предварительные испытания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.45pt,56.85pt" to=".45pt,98.1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489.5pt,1.45pt" to="489.5pt,57.35pt" o:allowincell="f" strokeweight=".48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89.4pt,56.85pt" to="489.4pt,98.15pt" o:allowincell="f" strokeweight=".12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25pt,97.9pt" to="489.7pt,97.9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5pt,97.7pt" to=".5pt,110.1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Предварительные испытания АС: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категории сложности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127,34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02-02-007. Приемосдаточные испытания АС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489.5pt,1.5pt" to="489.5pt,57.3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489.4pt,56.8pt" to="489.4pt,143pt" o:allowincell="f" strokeweight=".12pt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Приемосдаточные испытания АС: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категории сложности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категории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241,45</w:t>
            </w: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45pt,-.45pt" to=".45pt,85.7pt" o:allowincell="f" strokeweight=".04231mm"/>
        </w:pict>
      </w:r>
      <w:r>
        <w:rPr>
          <w:noProof/>
        </w:rPr>
        <w:pict>
          <v:rect id="_x0000_s1116" style="position:absolute;margin-left:0;margin-top:84.95pt;width:1pt;height:1pt;z-index:-251566080;mso-position-horizontal-relative:text;mso-position-vertical-relative:text" o:allowincell="f" fillcolor="#010000" stroked="f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ЦЕНТРАЛЬНЫЙ КОНТРОЛЛЕР ОХРАННОЙ СИСТЕМЫ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02-03-001.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Установка и настройка центрального контроллера охранной системы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49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02-03-001-01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 настройка центрального контроллера охранной системы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02-03-001-02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каждую дополнительную/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исключенную точку прохода из десяти учтенных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добавлять/исключать к расценке 02-03-001-01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17" style="position:absolute;margin-left:0;margin-top:-33.95pt;width:1pt;height:1pt;z-index:-251565056;mso-position-horizontal-relative:text;mso-position-vertical-relative:text" o:allowincell="f" fillcolor="#010000" stroked="f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19" style="position:absolute;margin-left:-.6pt;margin-top:9.8pt;width:.95pt;height:.95pt;z-index:-2515630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персонала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02-03-001-03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каждую дополнительную/исключенную единицу персонала из двадцати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учтенных добавлять/исключать к расценке 02-03-001-01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каталог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02-03-001-04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каждый дополнительный/исключенный каталог из десяти учтенных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добавлять/исключать к расценке 02-03-001-01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база данных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02-03-001-05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каждую дополнительную/исключенную базу данных из десяти учтенных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добавлять/исключать к расценке 02-03-001-01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03F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660" w:bottom="438" w:left="860" w:header="720" w:footer="720" w:gutter="0"/>
          <w:cols w:space="720" w:equalWidth="0">
            <w:col w:w="7380"/>
          </w:cols>
          <w:noEndnote/>
        </w:sectPr>
      </w:pPr>
      <w:r>
        <w:rPr>
          <w:noProof/>
        </w:rPr>
        <w:pict>
          <v:line id="_x0000_s1120" style="position:absolute;z-index:-251561984;mso-position-horizontal-relative:text;mso-position-vertical-relative:text" from="-1.8pt,1.65pt" to="482.9pt,1.6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C03FF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2. «Автоматизированные системы управления»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-1.45pt,1.65pt" to="483.25pt,1.65pt" o:allowincell="f" strokeweight=".16931mm"/>
        </w:pic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2. Автоматизированные системы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АВТОМАТИЗИРОВАННЫЕ СИСТЕМЫ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02-01-001. Автоматизированные системы управления I категории технической сложности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02-01-002. Автоматизированные системы управ</w:t>
      </w:r>
      <w:r>
        <w:rPr>
          <w:rFonts w:ascii="Times New Roman" w:hAnsi="Times New Roman" w:cs="Times New Roman"/>
          <w:sz w:val="20"/>
          <w:szCs w:val="20"/>
        </w:rPr>
        <w:t>ления II категории технической сложности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02-01-003. Автоматизированные системы управления III категории технической сложности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АППАРАТНО-ПРОГРАММНЫЕ СРЕДСТВА ВЫЧИСЛИТЕЛЬНОЙ ТЕХНИКИ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02-02-001.</w:t>
      </w:r>
      <w:r>
        <w:rPr>
          <w:rFonts w:ascii="Times New Roman" w:hAnsi="Times New Roman" w:cs="Times New Roman"/>
          <w:sz w:val="20"/>
          <w:szCs w:val="20"/>
        </w:rPr>
        <w:t xml:space="preserve"> Инсталляция и базовая настройка общего и специального программного</w:t>
      </w: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обеспечения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02-02-002. Функциональная настройка общего программного обеспечения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02-02-003. Функциональная настройка специального программного обеспечения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</w:t>
      </w:r>
      <w:r>
        <w:rPr>
          <w:rFonts w:ascii="Times New Roman" w:hAnsi="Times New Roman" w:cs="Times New Roman"/>
          <w:sz w:val="20"/>
          <w:szCs w:val="20"/>
        </w:rPr>
        <w:t>лица 02-02-004. Автономная наладка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02-02-005. Комплексная наладка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02-02-006. Предварительные испытания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02-02-007. Приемосдаточные испытания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ЦЕНТРАЛЬНЫЙ КОНТРОЛЛЕР ОХРАННОЙ 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02-03-</w:t>
      </w:r>
      <w:r>
        <w:rPr>
          <w:rFonts w:ascii="Times New Roman" w:hAnsi="Times New Roman" w:cs="Times New Roman"/>
          <w:sz w:val="20"/>
          <w:szCs w:val="20"/>
        </w:rPr>
        <w:t>001. Установка и настройка центрального контроллера охранной 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C03F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3FF"/>
    <w:rsid w:val="008C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1975</ap:Words>
  <ap:Characters>11259</ap:Characters>
  <ap:Application>convertonlinefree.com</ap:Application>
  <ap:DocSecurity>4</ap:DocSecurity>
  <ap:Lines>93</ap:Lines>
  <ap:Paragraphs>26</ap:Paragraphs>
  <ap:ScaleCrop>false</ap:ScaleCrop>
  <ap:Company/>
  <ap:LinksUpToDate>false</ap:LinksUpToDate>
  <ap:CharactersWithSpaces>13208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2016-06-28T07:43:00Z</dcterms:created>
  <dcterms:modified xsi:type="dcterms:W3CDTF">2016-06-28T07:43:00Z</dcterms:modified>
</cp:coreProperties>
</file>